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https://www.autoritedelaconcurrence.fr/fr/decision-de-controle-des-concentrations/relative-lacquisition-du-controle-exclusif-du-groupe-0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16-DCC-89 of June 15, 2016  </w:t>
        <w:br/>
        <w:t xml:space="preserve">regarding the acquisition of exclusive control of the Novacap group by the  </w:t>
        <w:br/>
        <w:t xml:space="preserve">Eurazeo group  </w:t>
        <w:br/>
        <w:t xml:space="preserve">The Competition Authority,  </w:t>
        <w:br/>
        <w:t xml:space="preserve">Having regard to the complete notification file submitted to the mergers department on May 12, 2016,  </w:t>
        <w:br/>
        <w:t xml:space="preserve">concerning the acquisition of exclusive control of the Novacap group by the Eurazeo group, formalized  </w:t>
        <w:br/>
        <w:t xml:space="preserve">by an acquisition contract dated April 8, 2016;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Novacap group, active in the  </w:t>
        <w:br/>
        <w:t xml:space="preserve">sector of production and marketing of chemical products and active ingredients, by the investment fund  </w:t>
        <w:br/>
        <w:t xml:space="preserve">Eurazeo. This operation constitutes a concentration within the meaning of Article L. 430-1 of the Commercial Code. Given the turnover achieved by the  </w:t>
        <w:br/>
        <w:t xml:space="preserve">concerned companies, the operation does not fall under the jurisdiction of the European Union. However, the control thresholds mentioned in point I of Article L. 430-2 of the Commercial Code  </w:t>
        <w:br/>
        <w:t xml:space="preserve">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16-063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