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https://www.autoritedelaconcurrence.fr/fr/decision-de-controle-des-concentrations/relative-lacquisition-du-controle-exclusif-du-groupe-trigo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16-DCC-80 of June 2, 2016  </w:t>
        <w:br/>
        <w:t xml:space="preserve">regarding the acquisition of exclusive control of the Trigo group by  </w:t>
        <w:br/>
        <w:t>Ardian</w:t>
      </w:r>
    </w:p>
    <w:p>
      <w:r>
        <w:t>The Competition Authority,</w:t>
      </w:r>
    </w:p>
    <w:p>
      <w:r>
        <w:t xml:space="preserve">Having regard to the complete notification file sent to the mergers department on April 26, 2016,  </w:t>
        <w:br/>
        <w:t xml:space="preserve">concerning the acquisition of exclusive control of the Trigo group by Ardian, formalized by a  </w:t>
        <w:br/>
        <w:t xml:space="preserve">letter of offer dated April 11, 2016, as well as a draft transfer agreement dated  </w:t>
        <w:br/>
        <w:t>April 11, 2016;</w:t>
      </w:r>
    </w:p>
    <w:p>
      <w:r>
        <w:t xml:space="preserve">Having regard to Book IV of the Commercial Code relating to freedom of prices and competition, and  </w:t>
        <w:br/>
        <w:t>notably its Articles L. 430-1 to L. 430-7;</w:t>
      </w:r>
    </w:p>
    <w:p>
      <w:r>
        <w:t>Adopts the following decision:</w:t>
      </w:r>
    </w:p>
    <w:p>
      <w:r>
        <w:t xml:space="preserve">1. The notified operation consists of the acquisition of exclusive control of the Trigo group, active in the  </w:t>
        <w:br/>
        <w:t xml:space="preserve">quality control sector, by the private equity company Ardian. This operation  </w:t>
        <w:br/>
        <w:t xml:space="preserve">constitutes a concentration within the meaning of Article L. 430-1 of the Commercial Code. Given  </w:t>
        <w:br/>
        <w:t xml:space="preserve">the turnover achieved by the companies concerned, the operation does not fall under the  </w:t>
        <w:br/>
        <w:t xml:space="preserve">competence of the European Union. On the other hand, the control thresholds mentioned in point I  </w:t>
        <w:br/>
        <w:t xml:space="preserve">of Article L. 430-2 of the Commercial Code are exceeded. The present operation is therefore  </w:t>
        <w:br/>
        <w:t xml:space="preserve">subject to the provisions of Articles L. 430-3 and following of the Commercial Code relating to  </w:t>
        <w:br/>
        <w:t>economic concentration.</w:t>
      </w:r>
    </w:p>
    <w:p>
      <w:r>
        <w:t xml:space="preserve">2. In view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16-077 is authorized.  </w:t>
        <w:br/>
        <w:t xml:space="preserve">The Vice-President,  </w:t>
        <w:br/>
        <w:t xml:space="preserve">Claire Favre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