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https://www.autoritedelaconcurrence.fr/fr/decision-de-controle-des-concentrations/relative-lacquisition-du-controle-exclusif-du-groupe</w:t>
      </w:r>
    </w:p>
    <w:p>
      <w:r>
        <w:t>Pages translated : 10</w:t>
      </w:r>
    </w:p>
    <w:p/>
    <w:p>
      <w:r>
        <w:rPr>
          <w:b/>
        </w:rPr>
        <w:t>[Pages 1–3]</w:t>
      </w:r>
    </w:p>
    <w:p>
      <w:r>
        <w:t xml:space="preserve">RÉPUBLIQUE FRANÇAISE  </w:t>
        <w:br/>
        <w:t xml:space="preserve">Decision No. 13-DCC-150 of October 29, 2013  </w:t>
        <w:br/>
        <w:t xml:space="preserve">regarding the acquisition of exclusive control of the Moniteur group  </w:t>
        <w:br/>
        <w:t>by Infopro Digital</w:t>
      </w:r>
    </w:p>
    <w:p>
      <w:r>
        <w:t xml:space="preserve">The Competition Authority,  </w:t>
        <w:br/>
        <w:t xml:space="preserve">Having regard to the notification file submitted in full to the merger service on September 27, 2013, regarding the acquisition of exclusive control of the Moniteur group by the company Infopro Digital, formalized by a memorandum of understanding concluded on August 6,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Infopro Digital (hereinafter "Infopro") is a French information and service group owned 63.9% by investment funds managed by the management company Apax Partners SA (hereinafter "Apax"). It offers professionals a set of media, such as professional press and publishing, as well as a range of services such as organizing trade shows, conferences, and training, as well as software and databases.  </w:t>
        <w:br/>
        <w:t xml:space="preserve">2. The company Info Services Holding (hereinafter "ISH"), the holding company of the Moniteur group, owns 100% of the company Groupe Moniteur, 100% of Territorial, 51% of APCFC, 100% of Prosys, and 98.9% of Vecteur Plus. ISH is 93% owned by investment funds managed by the management company Bridgepoint SAS (hereinafter "Bridgepoint"). The Moniteur group offers local authorities and professionals a set of media and online services, professional magazines, conferences, or professional events.  </w:t>
        <w:br/>
        <w:t xml:space="preserve">3. Under the terms of the memorandum of understanding concluded on August 6, 2013, between Apax, Infopro, Bridgepoint, ISH, and the creditors of ISH, the notified transaction consists of the acquisition by Infopro of all the shares of ISH. Simultaneously, the shareholding of Infopro will be restructured, but it will remain controlled by Apax. Indeed, following the transaction, Infopro will be owned approximately 76% by Apax, with the remaining 25% held by Bridgepoint (8%) and the executives (16%). Apax will appoint [...] members of the board of directors of Infopro and will thus have the simple majority required by the statutes to decide, in particular, on the appointment or removal of members of the board of directors, the validation of the strategic plan and the annual budget, or any acquisition or disposal of assets exceeding [...] euros. As it results in the exclusive control of the Moniteur group by Infopro, this operation constitutes a concentration within the meaning of Article L. 430-1 of the Commercial Code.  </w:t>
        <w:br/>
        <w:t>4. The concerned companies together achieved a consolidated turnover excluding taxes worldwide of more than 150 million euros in 2012 (Apax: [...] euros for the fiscal year ending December 31, 2012; Groupe Moniteur: [...] euros for the same fiscal year). Each of these companies achieved, in France, a turnover exceeding 50 million euros (Apax: [...] euros for the fiscal year ending December 31, 2012; Groupe Moniteur: [...]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5. Infopro and Groupe Moniteur are simultaneously active in the sectors of press, publishing, provision of professional databases, training, and organization of events.</w:t>
      </w:r>
    </w:p>
    <w:p>
      <w:r>
        <w:t xml:space="preserve">A. THE PRESS  </w:t>
        <w:br/>
        <w:t xml:space="preserve">1. PRODUCT MARKETS  </w:t>
        <w:br/>
        <w:t xml:space="preserve">The printed press  </w:t>
        <w:br/>
        <w:t xml:space="preserve">6. Within the printed press, decision-making practice traditionally distinguishes between national press, regional press, free press, and specialized press, as well as markets related to those of the press.  </w:t>
        <w:br/>
        <w:t xml:space="preserve">2 See in particular the decision of the European Commission No. COMP/M.3420 of June 16, 2004, GIMD/Socpresse; the opinion of the Competition Council No. 05-A-18 of October 11, 2005, regarding the acquisition of the Pôle Ouest of the company Socpresse and the business assets of SEMIF by the company SIPA; the letter No. C2007-27 from the Minister of Economy, Finance and Employment dated August 28, 2007, to the council of BFCM and L’Est Républicain, regarding a concentration in the publishing sector; the decisions of the Competition Authority No. 09-DCC-72 of December 14, 2009, regarding the exclusive control of the company EBRA by the Federative Bank of the Credit Mutuel and No. 13-DCC-46 of April 16, 2013, regarding the exclusive control by the Rossel group of the companies of the "Champagne Ardennes Picardie" pole of the Hersant Média group.  </w:t>
        <w:br/>
        <w:t xml:space="preserve">7. Within the specialized press, competition authorities distinguish between general public specialized press and technical and professional specialized press. In the present case, only technical and professional specialized publications are concerned by the notified operation.  </w:t>
        <w:br/>
        <w:t xml:space="preserve">8. For each type of press thus defined, three markets are traditionally distinguished: readership, sale of advertising space, and classified ads.  </w:t>
        <w:br/>
        <w:t xml:space="preserve">9. Regarding the readership market, competition authorities distinguish different markets based on the type of information highlighted, style, presentation, periodicity, commercial policy (subscription or single issue sales), price, and characteristics of readers (gender, age, socio-professional categories, income, and residence). Such segmentation has been considered by the Minister of Economy for technical and professional specialized press.  </w:t>
        <w:br/>
        <w:t xml:space="preserve">10. The notifying party proposes to further segment the market of technical and professional specialized publications, referring to the OJD classification, based on categories of professions or types of industries targeted.  </w:t>
        <w:br/>
        <w:t xml:space="preserve">11. However, in this case, there is no need to rule on the exact definition of the readership market for professional specialized publications since, regardless of the definition adopted, the results of the competitive analysis are identical.  </w:t>
        <w:br/>
        <w:t xml:space="preserve">12. Regarding the commercial advertising market, competition authorities have considered different approaches to delineate the relevant markets. Two alternative methods have notably been retained:  </w:t>
        <w:br/>
        <w:t xml:space="preserve">- the first consists of considering that the market for the sale of advertising space can be determined in a manner similar to the readership market, particularly insofar as magazines dealing with the same theme address readers with similar socio-professional characteristics and allow advertisers to reach the same advertising targets.  </w:t>
        <w:br/>
        <w:t xml:space="preserve">- the second consists of grouping all magazines that have at least 25% of advertisers in common with a reference magazine. Such magazines are considered substitutable from the advertisers' perspective.  </w:t>
        <w:br/>
        <w:t xml:space="preserve">13. In this case, the exact definition of the advertising space sales markets can be left open since, regardless of the definition adopted, the results of the competitive analysis are identical.  </w:t>
        <w:br/>
        <w:t>14. Regarding the classified ads market, decision-making practice has operated a segmentation by type of ads, notably distinguishing between automotive, real estate, and employment classified ads.</w:t>
      </w:r>
    </w:p>
    <w:p>
      <w:r>
        <w:rPr>
          <w:b/>
        </w:rPr>
        <w:t>[Pages 4–6]</w:t>
      </w:r>
    </w:p>
    <w:p>
      <w:r>
        <w:t>15. In the present case, both parties publish classified ads related to employment and calls for tenders.</w:t>
      </w:r>
    </w:p>
    <w:p>
      <w:r>
        <w:t>The operation of websites</w:t>
        <w:br/>
        <w:t>16. In the sector of website operation, competition authorities traditionally distinguish between editorial sites that are an extension of the print version of press titles (or companion sites) and sites dedicated to specific themes such as classified ads (general ads, real estate, employment) or practical information related to cities. For the first category, segmentation has sometimes been carried out according to the type of information published on the sites (political and general news information or economic and financial information).</w:t>
      </w:r>
    </w:p>
    <w:p>
      <w:r>
        <w:t>17. In the present case, the parties publish both companion websites and websites dedicated to the aforementioned professionals but not linked to print magazines.</w:t>
      </w:r>
    </w:p>
    <w:p>
      <w:r>
        <w:t>18. There is no need to conclude on the precise delineation of these markets in this case, as the competitive analysis remains unchanged regardless of the solution adopted.</w:t>
      </w:r>
    </w:p>
    <w:p>
      <w:r>
        <w:t>2. GEOGRAPHICAL MARKETS</w:t>
        <w:br/>
        <w:t>19. According to decision-making practice, the geographical dimension of the press and advertising markets on these media corresponds to their distribution area. In the present case, the press titles concerned have national distribution. This distribution area thus defines the geographical dimension of the relevant markets.</w:t>
      </w:r>
    </w:p>
    <w:p>
      <w:r>
        <w:t>20. For the markets of website operation, decision-making practice has retained at least a national dimension. There is no need to revisit this definition in this case.</w:t>
      </w:r>
    </w:p>
    <w:p>
      <w:r>
        <w:t>B. PUBLISHING</w:t>
        <w:br/>
        <w:t>21. In the publishing sector, competition authorities have defined different markets for products and services characterizing the "book chain."</w:t>
      </w:r>
    </w:p>
    <w:p>
      <w:r>
        <w:t>22. They distinguish between upstream markets for the acquisition of publishing rights and downstream markets for the sale of books, which are segmented according to the type of reseller (wholesalers; large distribution; or direct sales to the final consumer) and according to the category of book (general literature, children's books, art books, practical books, comics, educational books, university and professional works, and finally, booklets).</w:t>
      </w:r>
    </w:p>
    <w:p>
      <w:r>
        <w:t>23. Infopro and Groupe Moniteur are only simultaneously present in the downstream markets for the publishing of university and professional works.</w:t>
      </w:r>
    </w:p>
    <w:p>
      <w:r>
        <w:t>24. In this segment, the European Commission has considered a distinction based on the disciplines covered (law, science, technology, and medicine known as "STM," economics, and social sciences) while leaving the question open.</w:t>
      </w:r>
    </w:p>
    <w:p>
      <w:r>
        <w:t>25. In this case, there is no need to conclude on the precise delineation of these markets, as the competitive analysis remains unchanged regardless of the solution adopted.</w:t>
      </w:r>
    </w:p>
    <w:p>
      <w:r>
        <w:t>26. At the geographical level, decision-making practice has retained a supranational dimension for the markets of book sales by publishers to resellers, covering at least the French-speaking linguistic area of the European Union, with the possible inclusion of Romandy Switzerland. There is no need to revisit this definition in this case.</w:t>
      </w:r>
    </w:p>
    <w:p>
      <w:r>
        <w:t>C. PROVISION OF PROFESSIONAL DATABASES</w:t>
        <w:br/>
        <w:t>27. Decision-making practice has identified a market for professional databases that must be distinguished from that of specialized professional publications due to differences in the medium used (magazine / other media), the presentation of information (journalistic studies / listings of raw information), and their mode of distribution (primarily subscription / sale in bookstores, on order, or free distribution).</w:t>
      </w:r>
    </w:p>
    <w:p>
      <w:r>
        <w:t>28. In the present case, Infopro and Groupe Moniteur are both present in the markets for professional databases, in the form of software, information tools, and decision support.</w:t>
      </w:r>
    </w:p>
    <w:p>
      <w:r>
        <w:t>29. The Minister of Economy has considered additional segmentation based on the sector of activity while specifying that customers of databases may need references from suppliers of all products and services necessary for their activities and that this complementarity could therefore justify the market being a global market for professional databases.</w:t>
      </w:r>
    </w:p>
    <w:p>
      <w:r>
        <w:t>30. There is no need to conclude on the precise delineation of these markets in this case, as the competitive analysis remains unchanged regardless of the solution adopted.</w:t>
      </w:r>
    </w:p>
    <w:p>
      <w:r>
        <w:t>31. At the geographical level, competition authorities have retained a national dimension for the market for the marketing of professional databases. However, they do not exclude a broader dimension for certain databases of interest to a clientele not exclusively national. There is no need to revisit these definitions in this case.</w:t>
      </w:r>
    </w:p>
    <w:p>
      <w:r>
        <w:t>D. TRAINING</w:t>
        <w:br/>
        <w:t>32. Within the training sector, the Competition Authority has distinguished between initial training and continuing professional education. It has also been considered to distinguish these markets according to the fields of intervention.</w:t>
      </w:r>
    </w:p>
    <w:p>
      <w:r>
        <w:t>33. In the present case, the parties are only present in the market for continuing professional education.</w:t>
      </w:r>
    </w:p>
    <w:p>
      <w:r>
        <w:t>34. It does not appear necessary to specify the market boundaries, as the competitive analysis remains unchanged regardless of the hypothesis adopted.</w:t>
      </w:r>
    </w:p>
    <w:p>
      <w:r>
        <w:t>35. At the geographical level, national decision-making practice has retained a market of national dimension without excluding that it could be of infranational dimension depending on the specific needs expressed by a labor pool. There is no need to revisit this definition in this case.</w:t>
      </w:r>
    </w:p>
    <w:p>
      <w:r>
        <w:t>E. ORGANIZATION OF EVENTS</w:t>
        <w:br/>
        <w:t>36. National decision-making practice distinguishes the upstream market of site management from the downstream markets of event organization. Regarding the downstream market of event organization, decision-making practice has considered that the organization of fairs and exhibitions should be distinguished from that of other events (congresses, exhibitions, seminars, or conventions).</w:t>
      </w:r>
    </w:p>
    <w:p>
      <w:r>
        <w:t>37. In the present case, the parties are simultaneously present in the market for the organization of fairs and exhibitions.</w:t>
      </w:r>
    </w:p>
    <w:p>
      <w:r>
        <w:t>38. At the geographical level, decision-making practice has considered that the market for the organization of fairs and exhibitions has a national dimension. However, it has noted that foreign organizers exert potential competition on national players that must be taken into account at the stage of competitive analysis. There is no need to revisit these definitions in this case.</w:t>
      </w:r>
    </w:p>
    <w:p>
      <w:r>
        <w:rPr>
          <w:b/>
        </w:rPr>
        <w:t>[Pages 7–9]</w:t>
      </w:r>
    </w:p>
    <w:p>
      <w:r>
        <w:t xml:space="preserve">III. Competitive Analysis  </w:t>
        <w:br/>
        <w:t xml:space="preserve">A. ANALYSIS OF HORIZONTAL EFFECTS  </w:t>
        <w:br/>
        <w:t xml:space="preserve">1. THE PRESS  </w:t>
        <w:br/>
        <w:t xml:space="preserve">a) The Printed Press  </w:t>
        <w:br/>
        <w:t xml:space="preserve">39. In the market for readership of specialized technical and professional press, the market shares of the parties for readership, advertising, and classified ads are as follows:  </w:t>
        <w:br/>
        <w:t xml:space="preserve">Readership Advertising Classified Ads (M€)  </w:t>
        <w:br/>
        <w:t xml:space="preserve">2012  </w:t>
        <w:br/>
        <w:t xml:space="preserve">In Volume In Value (M€) Employment Calls for Tenders  </w:t>
        <w:br/>
        <w:t xml:space="preserve">Infopro [5-10] % [0-5] % [5-10] % [0-5] % [0-5] %  </w:t>
        <w:br/>
        <w:t xml:space="preserve">Groupe Moniteur [5-10] % [5-10] % [0-5] % [10-20] % [10-20] %  </w:t>
        <w:br/>
        <w:t xml:space="preserve">Total [10-20] % [10-20] % [10-20] % [10-20] % [10-20] %  </w:t>
        <w:br/>
        <w:t xml:space="preserve">40. It should be noted that these market shares are overestimated as the estimated size of the market for readership of specialized technical and professional press only takes into account, in addition to the titles of the parties, the publications listed by the OJD23. Following the transaction, the parties will continue to face competition from several players such as France Agricole, whose market share is estimated by the notifying party at [10-20] % in volume and [10-20] % in value, Wolters Kluwer ([5-10] % and [0-5] %) or Reed Business Information ([0-5] % and [0-5] %).  </w:t>
        <w:br/>
        <w:t xml:space="preserve">41. In the event of segmentation based on categories of professions or types of industries, the activities of the parties overlap in the energy and environment sectors24. However, according to the notifying party, the energy and environment sector represents only [0-5] % of Infopro's activity and [0-5] % of Groupe Moniteur's activity. Furthermore, the publications of Infopro and Groupe Moniteur do not target the same type of readership, have different periodicities, and have significantly different subscription prices. Indeed, Infopro publishes "Pétrole &amp; Gaz," a bimonthly magazine aimed at senior executives in the oil and gas industry sold at an average annual price excluding tax of […] euros. In contrast, Groupe Moniteur markets the newsletters "Bulletin de l’industrie pétrolière" and "Enerpresse," which cover respectively economic news and international policy regarding oil and gas and economic news and international policy regarding electricity and renewable energies. These newsletters are daily, target executives of large companies, and are sold at a much higher average annual price excluding tax ([…] euros for "Bulletin de l’industrie pétrolière").  </w:t>
        <w:br/>
        <w:t xml:space="preserve">42. In the market for the sale of advertising space in specialized technical and professional press, the combined market share of the parties is around [10-20] % (Infopro: [5-10] %; Groupe Moniteur: [0-5] %). The new entity will face competition from players such as Wolters Kluwer, whose market share is estimated at [10-20] %, France Agricole ([0-5] %) or Reed Business Information ([0-5] %).  </w:t>
        <w:br/>
        <w:t xml:space="preserve">23 For example, out of the 54 publications marketed by Infopro and Groupe Moniteur, 16 are listed by the OJD while 38 are not.  </w:t>
        <w:br/>
        <w:t xml:space="preserve">24 Infopro is present in the sectors of industry, distribution/trade, insurance/finance, tourism, and transport. Groupe Moniteur is present in the sectors of construction and local authorities.  </w:t>
        <w:br/>
        <w:t xml:space="preserve">43. In the event of segmentation by sector of activity, the activities of the parties do not overlap. Indeed, tests conducted by the notifying party show that none of the publications of Infopro and Groupe Moniteur have 25 % of advertisers in common.  </w:t>
        <w:br/>
        <w:t xml:space="preserve">44. In the markets for classified ad publishing, the combined market share of the parties is around [10-20] % (Infopro: [0-5] %; Groupe Moniteur: [10-20] %) for those related to employment and [10-20] % (Infopro: [0-5] %; Groupe Moniteur: [10-20] %) for those related to calls for tenders. Larger competitors than the new entity operate in these two markets (employment: Monster, Figaro Classifieds, Regions jobs; calls for tenders: BOAMP).  </w:t>
        <w:br/>
        <w:t xml:space="preserve">45. Consequently, the present operation is not likely to harm competition in the markets for readership, advertising space sales, and classified ad publishing in specialized technical and professional press or their potential segments.  </w:t>
        <w:br/>
        <w:t xml:space="preserve">b) The Operation of Websites  </w:t>
        <w:br/>
        <w:t xml:space="preserve">46. In the market for companion websites of specialized technical and professional press, the notifying party is unable to provide a satisfactory estimate of the market shares of the new entity as the OJD Web, which represents the only source of public data, only lists a very small portion of companion websites25.  </w:t>
        <w:br/>
        <w:t xml:space="preserve">47. However, among the magazines listed by the OJD, the notifying party identified 137 companion sites, of which only sixteen belong to Infopro or Groupe Moniteur26.  </w:t>
        <w:br/>
        <w:t xml:space="preserve">48. Furthermore, in the event of finer segmentation based on the sector of activity, there is no overlap between the companion websites of Infopro and those of Groupe Moniteur.  </w:t>
        <w:br/>
        <w:t xml:space="preserve">49. It follows from these elements that the present operation is not likely to harm competition in the market for companion websites of specialized technical and professional press or its potential segments.  </w:t>
        <w:br/>
        <w:t xml:space="preserve">50. In a global market for websites dedicated to professionals other than companion sites, the combined market share of the parties is around [10-20] % (Infopro: [0-5] %; Groupe Moniteur: [5-10] %). However, this market share is overestimated as the OJD Web, which served as the basis for estimating the total market, references a very limited number of websites dedicated to professionals other than companion sites. Following the transaction, there will remain larger competitors than the new entity in this market (europages.com with a market share of [10-20] %, agriaffaires.com with a market share of [10-20] %).  </w:t>
        <w:br/>
        <w:t xml:space="preserve">51. In the potential segment of websites related to job ads, where the activities of the parties overlap, the market share of the new entity would be [0-5] % (Infopro: [0-5] %; Groupe Moniteur: [0-5] %).  </w:t>
        <w:br/>
        <w:t xml:space="preserve">52. Consequently, the present operation is not likely to harm competition in the markets for websites dedicated to professionals other than companion sites or its potential segments.  </w:t>
        <w:br/>
        <w:t xml:space="preserve">25 Of the 141 technical and professional magazines listed by the OJD, 137 have a companion site. Only 17 of these companion sites are listed by the OJD Web.  </w:t>
        <w:br/>
        <w:t xml:space="preserve">26 Of these sixteen magazines, six magazines (Le Moniteur Architecture, Les Cahiers Techniques du Bâtiment, Paysage Actualités, and Centrale du matériel) share the same companion site, namely www.moniteur.fr.  </w:t>
        <w:br/>
        <w:t xml:space="preserve">2. PUBLISHING  </w:t>
        <w:br/>
        <w:t xml:space="preserve">53. The parties to the operation are both active in the downstream market for the publishing of technical and professional works, and more specifically in the segment of technical and legal works. In this latter segment, the combined market share of the parties is limited to around [0-5] % (Infopro: [0-5] %; Groupe Moniteur: [0-5] %).  </w:t>
        <w:br/>
        <w:t xml:space="preserve">54. Consequently, the present operation is not likely to harm competition in the market for the publishing of technical and professional works or its potential segments.  </w:t>
        <w:br/>
        <w:t xml:space="preserve">3. EVENT ORGANIZATION  </w:t>
        <w:br/>
        <w:t xml:space="preserve">55. The parties to the operation are both active in the market for organizing fairs and exhibitions, where they estimate that their combined market share is limited to [0-5] % (Infopro: [0-5] %; Groupe Moniteur: [0-5] %).  </w:t>
        <w:br/>
        <w:t xml:space="preserve">56. Consequently, the operation is not likely to harm competition in the markets for event organization.  </w:t>
        <w:br/>
        <w:t xml:space="preserve">4. TRAINING  </w:t>
        <w:br/>
        <w:t xml:space="preserve">57. The parties to the operation are both active in the market for continuing professional education, where they estimate that their combined market share is around [5-10] % (Infopro: [0-5] %; Groupe Moniteur: [0-5] %). They also cite three competitors larger than the new entity (Cegos, Demos, Francis Lefebvre).  </w:t>
        <w:br/>
        <w:t xml:space="preserve">58. Consequently, the operation is not likely to harm competition in the markets for training.  </w:t>
        <w:br/>
        <w:t xml:space="preserve">5. PROVISION OF PROFESSIONAL DATABASES  </w:t>
        <w:br/>
        <w:t xml:space="preserve">59. In a global market for the provision of professional databases, the notifying party estimates that the market share of the new entity would be less than [0-5] %. In the event of market segmentation by sector of activity, there is no overlap between the parties to the operation27.  </w:t>
        <w:br/>
        <w:t xml:space="preserve">60. Therefore, the present operation is not likely to harm competition in the market for the provision of professional databases or its potential segments.  </w:t>
        <w:br/>
        <w:t xml:space="preserve">B. ANALYSIS OF CONGLOMERATE EFFECTS  </w:t>
        <w:br/>
        <w:t>61. A concentration has conglomerate effects when the new entity extends or strengthens its presence in several markets whose connection may allow it to increase its market power. While conglomerate concentrations can generally generate pro-synergies,</w:t>
      </w:r>
    </w:p>
    <w:p>
      <w:r>
        <w:rPr>
          <w:b/>
        </w:rPr>
        <w:t>[Pages 10–10]</w:t>
      </w:r>
    </w:p>
    <w:p>
      <w:r>
        <w:t>competitive, some may nevertheless produce restrictive effects on competition when they allow for the technical or commercial linking of the sales or purchases of the components of the merger in such a way as to lock the market and exclude competitors.</w:t>
      </w:r>
    </w:p>
    <w:p>
      <w:r>
        <w:t>62. In this case, Infopro Digital is expanding its presence across different media and service markets aimed at professionals.</w:t>
      </w:r>
    </w:p>
    <w:p>
      <w:r>
        <w:t>63. However, the media and services offered by Infopro and Groupe Moniteur target different sectors of activity (automotive, industry, insurance, finance, distribution, and tourism for Infopro; local authorities and construction for Groupe Moniteur). The transaction does not therefore increase the opportunities for the new entity to engage in joint offers. In any event, the market shares of the new entity in the various service markets appear relatively low and make the exercise of any leverage effect unlikely.</w:t>
      </w:r>
    </w:p>
    <w:p>
      <w:r>
        <w:t>DECIDES</w:t>
      </w:r>
    </w:p>
    <w:p>
      <w:r>
        <w:t>Sole Article: The transaction notified under number 13-148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