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https://www.autoritedelaconcurrence.fr/fr/decision-de-controle-des-concentrations/relative-lacquisition-du-controle-exclusif-par-carlyle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16-DCC-122 of August 23, 2016  </w:t>
        <w:br/>
        <w:t xml:space="preserve">regarding the acquisition of exclusive control by The Carlyle Group of the  </w:t>
        <w:br/>
        <w:t xml:space="preserve">Cupa group  </w:t>
        <w:br/>
        <w:t xml:space="preserve">The Competition Authority,  </w:t>
        <w:br/>
        <w:t xml:space="preserve">Having regard to the notification file submitted in full to the mergers department on July 22, 2016,  </w:t>
        <w:br/>
        <w:t xml:space="preserve">concerning the acquisition of exclusive control by The Carlyle Group of the Cupa group, formalized  </w:t>
        <w:br/>
        <w:t xml:space="preserve">by a share purchase agreement dated June 24,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of exclusive control by The Carlyle Group of the Cupa group, active in the extraction, production, and marketing of construction materials.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16-139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