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https://www.autoritedelaconcurrence.fr/fr/decision-de-controle-des-concentrations/relative-lacquisition-du-controle-exclusif-par-la-societe-0</w:t>
      </w:r>
    </w:p>
    <w:p>
      <w:r>
        <w:t>Pages translated : 6</w:t>
      </w:r>
    </w:p>
    <w:p/>
    <w:p>
      <w:r>
        <w:rPr>
          <w:b/>
        </w:rPr>
        <w:t>[Pages 1–3]</w:t>
      </w:r>
    </w:p>
    <w:p>
      <w:r>
        <w:t xml:space="preserve">FRENCH REPUBLIC  </w:t>
        <w:br/>
        <w:t xml:space="preserve">Decision No. 19-DCC-73 of April 19, 2019  </w:t>
        <w:br/>
        <w:t xml:space="preserve">regarding the acquisition of exclusive control by Lidl of  </w:t>
        <w:br/>
        <w:t xml:space="preserve">33 retail stores primarily focused on food  </w:t>
        <w:br/>
        <w:t xml:space="preserve">The Competition Authority,  </w:t>
        <w:br/>
        <w:t xml:space="preserve">Having regard to the notification file submitted in full to the merger service on March 19, 2019,  </w:t>
        <w:br/>
        <w:t xml:space="preserve">regarding the exclusive control by Lidl of 33 retail stores primarily focused on food operated under the Casino and Leader Price brands, formalized by a purchase promise dated February 12, 2019;  </w:t>
        <w:br/>
        <w:t xml:space="preserve">Having regard to Book IV of the Commercial Code relating to price freedom and competition, and  </w:t>
        <w:br/>
        <w:t xml:space="preserve">notably its Articles L. 430-1 to L. 430-7;  </w:t>
        <w:br/>
        <w:t xml:space="preserve">Having regard to the supplementary elements transmitted by the notifying party during the investigation;  </w:t>
        <w:br/>
        <w:t xml:space="preserve">Adopts the following decision:  </w:t>
        <w:br/>
        <w:t xml:space="preserve">I. The companies concerned and the operation  </w:t>
        <w:br/>
        <w:t>1. The company Lidl (hereinafter "Lidl") is a general partnership belonging to the Schwarz family group (hereinafter the "Schwarz group"). The Schwarz group is active in France solely in the food retail sector, through more than 1,500 points of sale under the Lidl brand. The Schwarz group also owns the Kaufland brand, which is also active in the food retail sector abroad. It is finally present in the collection, processing, and disposal of non-hazardous waste through the companies GreenCycle and PreZero.</w:t>
      </w:r>
    </w:p>
    <w:p>
      <w:r>
        <w:t xml:space="preserve">2. The target assets of the operation are 33 retail stores primarily focused on food, operated under the Casino and Leader Price brands, which are controlled (i) exclusively by the Casino group1 or (ii) jointly by the Casino group and some of its franchisees2.  </w:t>
        <w:br/>
        <w:t xml:space="preserve">3. The operation, formalized by a purchase promise dated February 12, 2019, consists of Lidl's acquisition of the business assets of the 33 target stores. As it results in the exclusive control of the target stores, the notified operation constitutes a concentration within the meaning of Article L. 430-1 of the Commercial Code.  </w:t>
        <w:br/>
        <w:t xml:space="preserve">4. The companies concerned together achieve a total worldwide turnover excluding taxes of more than 75 million (Schwarz group: [&gt;75 million] euros for the fiscal year ending February 28, 2018; target stores: [&gt;75 million] euros for the fiscal year ending December 31, 2018). The companies concerned achieve in France in the retail sector a turnover exceeding 15 million euros (Schwarz group: [&gt;15 million] euros for the fiscal year ending February 28, 2018; target stores: [&gt;15 million] euros for the fiscal year ending December 31, 2018).  </w:t>
        <w:br/>
        <w:t xml:space="preserve">5. Given these turnover figures,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6. According to the consistent practice of national3 and European4 competition authorities, two categories of markets can be delineated in the food retail sector: on the one hand, downstream markets, of a local dimension, which bring together retail companies and consumers for the sale of consumer goods, and on the other hand, upstream supply markets where companies as buyers are in contact with product manufacturers, of a national dimension.  </w:t>
        <w:br/>
        <w:t xml:space="preserve">1 These stores are located in Bourg-en-Bresse (01), Gex (01), Varennes-sur-Allier (03), Nice (06), Vallauris (06), Narbonne (11), Neuilly-lès-Dijon (21), Salaise-sur-Sanne (38), Saint-Claude (39), Montbrison (42), Roanne (42), Saint-Herblain (44), Hautmont (59), Le Havre (76), and Petit-Quevilly (76).  </w:t>
        <w:br/>
        <w:t xml:space="preserve">2 These stores are located in Cessy (01), Aubenas (07), Montbéliard (25), Landivisiau (29), Castelnau-de-Médoc (33), l’Isle-D’abeau (38), Lorient (56), Ploemeur (56), Perpignan (66), Saint-Alban-Leysse (73), Seynod (74), Saint-Étienne-du-Rouvray (76), Esbly (77), La Crau (83), La Roche-sur-Yon (85), Nanterre (92), Neuilly-sur-Marne (93), and Vaujours (93).  </w:t>
        <w:br/>
        <w:t xml:space="preserve">3 See in particular the decision of the Competition Authority No. 14-DCC-173 of November 21, 2014, regarding the acquisition of control of Dia France SAS by Carrefour France SAS, and decision No. 17-DCC-231 of December 27, 2017, regarding the joint control by the Zouari family alongside the Casino group of 125 retail stores primarily focused on food.  </w:t>
        <w:br/>
        <w:t>4 See in particular the decisions of the European Commission M.1221, Rewe / Meinl of February 3, 1999, and M.1684, Carrefour/ Promodès of January 25, 2000.</w:t>
      </w:r>
    </w:p>
    <w:p>
      <w:r>
        <w:t xml:space="preserve">A. UPSTREAM SUPPLY MARKETS  </w:t>
        <w:br/>
        <w:t xml:space="preserve">7. Regarding supply markets, the European Commission5 has identified the existence of national markets by major product groups, a delineation followed by the Competition Authority during the examination of concentration operations in this sector6.  </w:t>
        <w:br/>
        <w:t xml:space="preserve">8. There is no reason to challenge this delineation in the context of the present operation.  </w:t>
        <w:br/>
        <w:t xml:space="preserve">B. DOWNSTREAM RETAIL DISTRIBUTION MARKETS WITH A FOOD DOMINANCE  </w:t>
        <w:br/>
        <w:t xml:space="preserve">1. PRODUCT MARKETS  </w:t>
        <w:br/>
        <w:t xml:space="preserve">9. Concerning the retail sale of everyday consumer goods, the decision-making practice of the Authority7 distinguishes six categories of commerce by considering several criteria, notably the size of the stores, their sales techniques, their accessibility, the nature of the service provided, and the range of products offered: (i) hypermarkets (with a legal sales area greater than 2,500 m²), (ii) supermarkets (food-focused stores with a sales area less than 2,500 m² and greater than 400 m²), (iii) specialized commerce, (iv) small retail (less than 400 m²), (v) maxi discounters, (vi) mail order sales.  </w:t>
        <w:br/>
        <w:t xml:space="preserve">10. The competition authorities8 consider that, while each category of store retains its specificity, there is asymmetric competition between certain of these categories. They thus distinguish:  </w:t>
        <w:br/>
        <w:t xml:space="preserve">- a market comprising only hypermarkets;  </w:t>
        <w:br/>
        <w:t xml:space="preserve">- a market comprising supermarkets and equivalent forms of commerce (hypermarkets, hard-discount, and popular stores) excluding small retail (less than 400 m²).  </w:t>
        <w:br/>
        <w:t xml:space="preserve">11. There is no reason to challenge these definitions in the context of the present operation.  </w:t>
        <w:br/>
        <w:t xml:space="preserve">2. GEOGRAPHICAL MARKETS  </w:t>
        <w:br/>
        <w:t xml:space="preserve">12. The competition authorities have examined the effects of concentrations in the food retail sector at the local level, corresponding to the catchment area associated with each store, and whose extent is dependent on the travel time for the consumer.  </w:t>
        <w:br/>
        <w:t xml:space="preserve">13. Regarding supermarkets, it follows from the decision-making practice of the Authority9 that competition conditions are generally assessed in an area where the demand of consumers from an area meets the supply of supermarkets they can access within a reasonable distance.  </w:t>
        <w:br/>
        <w:t xml:space="preserve">5 See in particular the decision of the European Commission M.1221 cited above.  </w:t>
        <w:br/>
        <w:t xml:space="preserve">6 See in particular in this sense decision No. 11-DCC-45 of March 18, 2011, regarding the acquisition of exclusive control of the business assets of the Cora Desmarais hypermarket by Sodex Desmarais.  </w:t>
        <w:br/>
        <w:t xml:space="preserve">7 See in particular the decision of the Competition Authority No. 13-DCC-90 of July 11, 2013, regarding the exclusive control of Monoprix by Casino Guichard-Perrachon.  </w:t>
        <w:br/>
        <w:t xml:space="preserve">8 Id.  </w:t>
        <w:br/>
        <w:t>9 See decisions No. 14-DCC-173 and No. 17-DCC-231 cited above.</w:t>
      </w:r>
    </w:p>
    <w:p>
      <w:r>
        <w:rPr>
          <w:b/>
        </w:rPr>
        <w:t>[Pages 4–6]</w:t>
      </w:r>
    </w:p>
    <w:p>
      <w:r>
        <w:t>consumer demand and the supply of supermarkets and equivalent forms of commerce located within a 15-minute drive.</w:t>
      </w:r>
    </w:p>
    <w:p>
      <w:r>
        <w:t>14. However, the Authority10 analyzed areas corresponding to a 10-minute drive from supermarkets located in the inner suburbs of Paris and areas corresponding to a 10 and 15-minute drive from supermarkets located in the outer suburbs of Paris or in major provincial cities11.</w:t>
      </w:r>
    </w:p>
    <w:p>
      <w:r>
        <w:t>15. Regarding hypermarkets, the Authority's decision-making practice has emphasized that competition conditions are assessed in two different areas:</w:t>
        <w:br/>
        <w:t>- a first market where the demand of consumers from an area meets the supply of hypermarkets they can access within less than 30 minutes of driving and which are, from their perspective, substitutable for each other;</w:t>
        <w:br/>
        <w:t>- and a second market where the demand of consumers meets the supply of supermarkets and equivalent forms of commerce located within a 15-minute drive. These latter forms of commerce may include, in addition to supermarkets, hypermarkets located near consumers and discount stores12.</w:t>
      </w:r>
    </w:p>
    <w:p>
      <w:r>
        <w:t>16. The Authority, however, consistently specifies that these delineations may evolve on a case-by-case basis, depending on the characteristics of the local area, since other criteria may be taken into account to assess the impact of a concentration on the competitive situation in the retail distribution markets, which may lead to refining, in the specific case, the usual delineations presented above.</w:t>
      </w:r>
    </w:p>
    <w:p>
      <w:r>
        <w:t>17. There is no reason to challenge these delineations in the context of the present operation.</w:t>
      </w:r>
    </w:p>
    <w:p>
      <w:r>
        <w:t>18. In this case, the proposed operation concerns 33 food-dominant stores of which (i) 29 have a sales area between 400 m² and 2,500 m² (including 1 located in Nice, 2 located in the inner suburbs of Paris, and 1 in the outer suburbs of Paris); (ii) 4 have a sales area exceeding 2,500 m² (including 1 located in the inner suburbs of Paris).</w:t>
      </w:r>
    </w:p>
    <w:p>
      <w:r>
        <w:t>III. Competitive Analysis</w:t>
        <w:br/>
        <w:t>A. UPSTREAM SUPPLY MARKETS</w:t>
        <w:br/>
        <w:t>19. Regarding the upstream supply markets, the operation concerns 33 stores whose total purchasing amount represents a very marginal share of the supply market13. Lidl's purchasing power is therefore not likely to be strengthened, across all products as well as by product categories, as a result of the operation.</w:t>
      </w:r>
    </w:p>
    <w:p>
      <w:r>
        <w:t>20. Consequently, the operation is not likely to harm competition in the upstream distribution market.</w:t>
      </w:r>
    </w:p>
    <w:p>
      <w:r>
        <w:t>B. DOWNSTREAM DISTRIBUTION MARKETS</w:t>
        <w:br/>
        <w:t>21. The operation entails an overlap of activity with stores operated under the Lidl brand in the following 30 catchment areas: Bourg-en-Bresse (01), Cessy (01), Varennes-sur-Allier (03), Nice (06), Vallauris (06), Aubenas (07), Narbonne (11), Neuilly-lès-Dijon (21), Montbéliard (25), Landivisiau (29), L’Isle-D’Abeau (38), Salaise-sur-Sanne (38), Saint-Claude (39), Roanne (42), Saint-Herblain (44), Lorient (56), Ploemeur (56), Hautmont (59), Perpignan (66), Saint-Alban-Leysse (73), Seynod (74), Le Havre (76), Petit-Quevilly (76), Saint-Étienne-du-Rouvray (76), Esbly (77), La Crau (83), La Roche-sur-Yon (85), Nanterre (92), Neuilly-sur-Marne (93), and Vaujours (93).</w:t>
      </w:r>
    </w:p>
    <w:p>
      <w:r>
        <w:t>22. With the exception of the areas of Varennes-sur-Allier (03) and Saint-Claude (39), the market share of stores operated under the Lidl brand will remain below 25% in all the concerned areas. The new entity will also face competition from several of the main national food distribution brands (Aldi, Auchan, Casino, Carrefour, Cora, Intermarché, Leclerc, Système U) in each of these areas.</w:t>
      </w:r>
    </w:p>
    <w:p>
      <w:r>
        <w:t>Varennes-sur-Allier (03)</w:t>
        <w:br/>
        <w:t>23. The target store located in Varennes-sur-Allier (03) under the Casino brand has a sales area of 1,805 m². It therefore falls into the category of supermarkets.</w:t>
      </w:r>
    </w:p>
    <w:p>
      <w:r>
        <w:t>24. In the market comprising supermarkets and equivalent forms of commerce located in the catchment area of this store, Lidl operates two stores with a total area of 2,246 m², representing a market share of [20-30]% before the operation. Following the operation, the market share of the new entity will therefore be [40-50]%. Lidl will, however, face competition from the Carrefour group ([40-50]%) and the Colruyt group ([10-20]%).</w:t>
      </w:r>
    </w:p>
    <w:p>
      <w:r>
        <w:t>Saint-Claude (39)</w:t>
        <w:br/>
        <w:t>25. The target store in Saint-Claude (39) under the Casino brand has a sales area of 2,381 m² and therefore falls into the category of supermarkets.</w:t>
      </w:r>
    </w:p>
    <w:p>
      <w:r>
        <w:t>26. In the market comprising supermarkets and equivalent forms of commerce located in the catchment area of this store, Lidl operates one store with a sales area of 879 m², representing a market share of [5-10]% before the operation. Following the operation, the market share of the new entity will therefore be [30-40]%. Lidl will, however, face competition from several groups: Intermarché ([20-30]%), Casino ([10-20]%), Schiever ([10-20]%), Colruyt ([5-10]%), and Aldi ([5-10]%).</w:t>
      </w:r>
    </w:p>
    <w:p>
      <w:r>
        <w:t>27. In light of the above, the operation is not likely to harm competition in the downstream food distribution markets in the catchment areas concerned by the operation.</w:t>
      </w:r>
    </w:p>
    <w:p>
      <w:r>
        <w:t>13 The 33 stores represent a market share of less than [0-5]% in the overall supply market. It remains marginal by product family.</w:t>
      </w:r>
    </w:p>
    <w:p>
      <w:r>
        <w:t>DECIDES</w:t>
        <w:br/>
        <w:t>Sole Article: The operation notified under number 19-063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