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https://www.autoritedelaconcurrence.fr/fr/decision-de-controle-des-concentrations/relative-lacquisition-du-controle-exclusif-par-la-societe</w:t>
      </w:r>
    </w:p>
    <w:p>
      <w:r>
        <w:t>Pages translated : 6</w:t>
      </w:r>
    </w:p>
    <w:p/>
    <w:p>
      <w:r>
        <w:rPr>
          <w:b/>
        </w:rPr>
        <w:t>[Pages 1–3]</w:t>
      </w:r>
    </w:p>
    <w:p>
      <w:r>
        <w:t xml:space="preserve">FRENCH REPUBLIC  </w:t>
        <w:br/>
        <w:t xml:space="preserve">Decision No. 19-DCC-123 of June 25, 2019  </w:t>
        <w:br/>
        <w:t xml:space="preserve">regarding the acquisition of exclusive control by Lidl of  </w:t>
        <w:br/>
        <w:t xml:space="preserve">two food-dominant retail stores  </w:t>
        <w:br/>
        <w:t xml:space="preserve">The Competition Authority,  </w:t>
        <w:br/>
        <w:t xml:space="preserve">Having regard to the notification file submitted in full to the merger service on May 17, 2019,  </w:t>
        <w:br/>
        <w:t xml:space="preserve">regarding the exclusive control by Lidl of two food-dominant retail stores under the Leader Price brand, formalized by a purchase promise dated April 11, 2019;  </w:t>
        <w:br/>
        <w:t xml:space="preserve">Having regard to Book IV of the Commercial Code relating to price freedom and competition, and in particular its Articles L. 430-1 to L. 430-7;  </w:t>
        <w:br/>
        <w:t xml:space="preserve">Adopts the following decision:  </w:t>
        <w:br/>
        <w:t xml:space="preserve">I. The undertakings concerned and the operation  </w:t>
        <w:br/>
        <w:t xml:space="preserve">1. The company Lidl (hereinafter "Lidl") is a general partnership belonging to the Schwarz family group (hereinafter the "Schwarz group"). The Schwarz group is active in France solely in the food-dominant distribution sector, through more than 1,500 retail outlets under the Lidl brand. The Schwarz group also owns the Kaufland brand, which is also active in the food-dominant distribution sector abroad. It is finally present in the collection, processing, and disposal of non-hazardous waste through the companies GreenCycle and PreZero.  </w:t>
        <w:br/>
        <w:t xml:space="preserve">2. The target assets of the operation are two food-dominant retail stores located respectively in Drumettaz-Clarafond (73) and Thiais (94), operated under the Leader Price brand and exclusively controlled by the Casino group.  </w:t>
        <w:br/>
        <w:t>3. The operation, formalized by a purchase promise dated April 11, 2019, consists of Lidl acquiring the business assets of the two target stores. As it results in the exclusive control of the target stores, the notified operation constitutes a concentration within the meaning of Article L. 430-1 of the Commercial Code.</w:t>
      </w:r>
    </w:p>
    <w:p>
      <w:r>
        <w:t xml:space="preserve">4. In accordance with Article 5, paragraph 2, second subparagraph, of Regulation No. 139/20041 to which Article L. 430-2 of the Commercial Code refers, "[...] two or more transactions within the meaning of the first subparagraph that have taken place over a period of two years between the same persons or undertakings shall be considered as a single concentration occurring on the date of the last transaction." In this case, the present operation follows a transaction that took place between the same parties – namely the Schwarz group and the Casino group – within a period of less than two years2. Under these conditions, the previous transaction must be included within the scope of the transaction to be examined in the present case.  </w:t>
        <w:br/>
        <w:t xml:space="preserve">5. The undertakings concerned together achieve a total turnover excluding taxes on a global scale of more than 75 million euros (Schwarz group: [≥ 75 million] euros for the fiscal year ending February 28, 2018; target stores: [≥ 75 million] euros for the fiscal year ending December 31, 2018). The undertakings concerned achieve in France in the retail sector a turnover exceeding 15 million euros (Schwarz group: [≥ 15 million] euros for the fiscal year ending February 28, 2018; target stores: [≥ 15 million] euros for the fiscal year ending December 31, 2018).  </w:t>
        <w:br/>
        <w:t xml:space="preserve">6. Given these turnover figures, the operation does not fall under the jurisdiction of the European Union. On the other hand, the control thresholds related to retail mentioned in II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7. According to the consistent practice of national3 and European4 competition authorities, two categories of markets can be delineated in the food-dominant distribution sector: on the one hand, downstream markets, of local dimension, which bring together retail companies and consumers for the sale of consumer goods and, on the other hand, upstream supply markets where companies as buyers are in contact with product manufacturers, of national dimension.  </w:t>
        <w:br/>
        <w:t xml:space="preserve">1 Regulation No. 139/2004 of the Council of January 20, 2004 on the control of concentrations between undertakings.  </w:t>
        <w:br/>
        <w:t xml:space="preserve">2 See the decision of the Competition Authority No. 19-DCC-73 of April 19, 2019 regarding the acquisition of exclusive control by Lidl of 33 food-dominant retail stores.  </w:t>
        <w:br/>
        <w:t xml:space="preserve">3 See in particular the decision of the Competition Authority No. 14-DCC-173 of November 21, 2014 regarding the acquisition of control of Dia France SAS by Carrefour France SAS, decision No. 17-DCC-231 of December 27, 2017 regarding the joint control by the Zouari family alongside the Casino group of 125 food-dominant retail stores and decision No. 19-DCC-73 mentioned above.  </w:t>
        <w:br/>
        <w:t>4 See in particular the decisions of the European Commission M.1221, Rewe / Meinl of February 3, 1999 and M.1684, Carrefour/ Promodès of January 25, 2000.</w:t>
      </w:r>
    </w:p>
    <w:p>
      <w:r>
        <w:t xml:space="preserve">A. UPSTREAM SUPPLY MARKETS  </w:t>
        <w:br/>
        <w:t xml:space="preserve">8. Regarding supply markets, competition authorities5 recognize the existence of markets of national dimension by major product groups.  </w:t>
        <w:br/>
        <w:t xml:space="preserve">9. There is no reason to challenge this delineation on the occasion of the present operation.  </w:t>
        <w:br/>
        <w:t xml:space="preserve">B. DOWNSTREAM MARKETS OF FOOD-DOMINANT RETAIL DISTRIBUTION  </w:t>
        <w:br/>
        <w:t xml:space="preserve">1. PRODUCT MARKETS  </w:t>
        <w:br/>
        <w:t xml:space="preserve">10. Concerning the retail sale of everyday consumer goods, the decision-making practice of the Authority6 distinguishes six categories of commerce by considering several criteria, notably the size of the stores, their sales techniques, their accessibility, the nature of the service provided, and the breadth of the product ranges offered: (i) hypermarkets (with a sales area greater than 2,500 m²), (ii) supermarkets (food-dominant stores with a sales area less than 2,500 m² and greater than 400 m²), (iii) specialized commerce, (iv) small retail (less than 400 m²), (v) maxi discounters, (vi) mail order.  </w:t>
        <w:br/>
        <w:t xml:space="preserve">11. Competition authorities7 consider that, while each category of stores retains its specificity, there is asymmetric competition between certain of these categories. They thus distinguish:  </w:t>
        <w:br/>
        <w:t xml:space="preserve">- a market comprising only hypermarkets;  </w:t>
        <w:br/>
        <w:t xml:space="preserve">- a market comprising supermarkets and equivalent forms of commerce (hypermarkets, hard-discount, and popular stores) excluding small retail (less than 400 m²).  </w:t>
        <w:br/>
        <w:t xml:space="preserve">12. There is no reason to challenge these definitions in the context of the present operation.  </w:t>
        <w:br/>
        <w:t xml:space="preserve">2. GEOGRAPHICAL MARKETS  </w:t>
        <w:br/>
        <w:t xml:space="preserve">13. Competition authorities examine the effects of concentrations in the food-dominant retail sector at the local level, corresponding to the catchment area associated with each store, and whose extent is dependent on the travel time for the consumer.  </w:t>
        <w:br/>
        <w:t xml:space="preserve">14. Regarding supermarkets, it follows from the decision-making practice of the Authority8 that the conditions of competition are generally assessed in an area where the demand from consumers meets the supply of supermarkets and equivalent forms of commerce located within a 15-minute travel time by car.  </w:t>
        <w:br/>
        <w:t xml:space="preserve">5 See in particular the decision of the European Commission M.1221 mentioned above and decision No. 11-DCC-45 of March 18, 2011 regarding the acquisition of exclusive control of the business assets of the Cora Desmarais hypermarket by Sodex Desmarais.  </w:t>
        <w:br/>
        <w:t xml:space="preserve">6 See in particular the decision of the Competition Authority No. 13-DCC-90 of July 11, 2013 regarding the exclusive control of Monoprix by Casino Guichard-Perrachon.  </w:t>
        <w:br/>
        <w:t xml:space="preserve">7 Id.  </w:t>
        <w:br/>
        <w:t>8 See decisions No. 14-DCC-173, No. 17-DCC-231, and No. 19-DCC-73 mentioned above.</w:t>
      </w:r>
    </w:p>
    <w:p>
      <w:r>
        <w:rPr>
          <w:b/>
        </w:rPr>
        <w:t>[Pages 4–6]</w:t>
      </w:r>
    </w:p>
    <w:p>
      <w:r>
        <w:t xml:space="preserve">15. However, the Authority9 analyzed areas corresponding to a 10-minute car journey from supermarkets located in the inner suburbs of Paris.  </w:t>
        <w:br/>
        <w:t xml:space="preserve">16. The Authority consistently specifies that these boundaries are subject to change on a case-by-case basis, depending on the characteristics of the local area, as other criteria may be considered to assess the impact of a concentration on the competitive situation in retail distribution markets, which may lead to refining, in the specific case, the usual boundaries presented above.  </w:t>
        <w:br/>
        <w:t xml:space="preserve">17. There is no reason to challenge these boundaries in the context of the present operation.  </w:t>
        <w:br/>
        <w:t xml:space="preserve">18. In this case, the proposed operation concerns two food-dominant stores whose sales area is between 400 m² and 2,500 m², one of which is located in the inner suburbs of Paris.  </w:t>
        <w:br/>
        <w:t xml:space="preserve">III. Competitive Analysis  </w:t>
        <w:br/>
        <w:t xml:space="preserve">A. UPSTREAM SUPPLY MARKETS  </w:t>
        <w:br/>
        <w:t xml:space="preserve">19. Regarding upstream supply markets, it is necessary to take into account the two successive operations. These two operations concern 35 stores whose total purchasing amount represents a very marginal share of the supply market. Indeed, the 35 stores represent a market share of less than 0.1% of the overall supply market, and this share remains below 5% regardless of the product family considered. Lidl's purchasing power is therefore not likely to be strengthened as a result of the operation.  </w:t>
        <w:br/>
        <w:t xml:space="preserve">20. Consequently, the operation is not likely to harm competition in the upstream distribution market.  </w:t>
        <w:br/>
        <w:t xml:space="preserve">B. DOWNSTREAM DISTRIBUTION MARKETS  </w:t>
        <w:br/>
        <w:t xml:space="preserve">21. The acquisition of the 33 points of sale from the previous operation has already been analyzed by the competition authority in its decision No. 19-DCC-73. This analysis remains unchanged as the two points of sale in the present operation are not located in any of the areas covered by the previous operation.  </w:t>
        <w:br/>
        <w:t xml:space="preserve">22. In this case, the operation only involves an overlap of activity with the stores operated under the Lidl brand in the catchment area of the Thiais (94) store.  </w:t>
        <w:br/>
        <w:t xml:space="preserve">23. This store has a sales area of 990 m². It therefore falls into the category of supermarkets located in the inner suburbs of Paris.  </w:t>
        <w:br/>
        <w:t xml:space="preserve">24. In the market comprising supermarkets and equivalent forms of commerce located in the catchment area of this store, Lidl operates two stores with a total area of 1,884 m², representing a market share of [5-10]% before the operation. Following the operation, the market share of the new entity will therefore be [10-20]%. Lidl will also face competition from the Carrefour group ([60-70]%), Casino ([20-30]%), and Auchan ([5-10]%).  </w:t>
        <w:br/>
        <w:t>25. Given the above, the operation is not likely to harm competition in the downstream food-dominant distribution markets in the catchment areas concerned by the operation.</w:t>
      </w:r>
    </w:p>
    <w:p>
      <w:r>
        <w:t xml:space="preserve">DECIDES  </w:t>
        <w:br/>
        <w:t xml:space="preserve">Sole Article: The operation notified under number 19-121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