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https://www.autoritedelaconcurrence.fr/fr/decision-de-controle-des-concentrations/relative-lacquisition-du-controle-exclusif-par-le-groupe</w:t>
      </w:r>
    </w:p>
    <w:p>
      <w:r>
        <w:t>Pages translated : 2</w:t>
      </w:r>
    </w:p>
    <w:p/>
    <w:p>
      <w:r>
        <w:rPr>
          <w:b/>
        </w:rPr>
        <w:t>[Pages 1–2]</w:t>
      </w:r>
    </w:p>
    <w:p>
      <w:r>
        <w:t xml:space="preserve">FRENCH REPUBLIC  </w:t>
        <w:br/>
        <w:t xml:space="preserve">Decision No. 16-DCC-100 of July 21, 2016  </w:t>
        <w:br/>
        <w:t xml:space="preserve">regarding the acquisition of exclusive control by the JIC group of the  </w:t>
        <w:br/>
        <w:t xml:space="preserve">SGD company  </w:t>
        <w:br/>
        <w:t xml:space="preserve">The Competition Authority,  </w:t>
        <w:br/>
        <w:t xml:space="preserve">Having regard to the complete notification file sent to the mergers department on June 21, 2016,  </w:t>
        <w:br/>
        <w:t xml:space="preserve">concerning the acquisition of exclusive control by the JIC group of the SGD company, formalized by  </w:t>
        <w:br/>
        <w:t xml:space="preserve">a final offer letter dated May 9,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exclusive control by the JIC group, which is involved  </w:t>
        <w:br/>
        <w:t xml:space="preserve">in investment in various sectors of activity, of the SGD company, active in the primary packaging sector. It constitutes a concentration operation within the meaning of Article L. 430-1 of the Commercial Code. Given the turnover achieved by the companies concerned, the operation does not fall under the jurisdiction of the European Union. On the other hand, the control thresholds relating to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16-105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