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https://www.autoritedelaconcurrence.fr/fr/decision-de-controle-des-concentrations/relative-lacquisition-du-fonds-de-commerce-de-la-societe-0</w:t>
      </w:r>
    </w:p>
    <w:p>
      <w:r>
        <w:t>Pages translated : 4</w:t>
      </w:r>
    </w:p>
    <w:p/>
    <w:p>
      <w:r>
        <w:rPr>
          <w:b/>
        </w:rPr>
        <w:t>[Pages 1–3]</w:t>
      </w:r>
    </w:p>
    <w:p>
      <w:r>
        <w:t>FRENCH REPUBLIC</w:t>
        <w:br/>
        <w:t>Decision No. 11-DCC-30 of March 4, 2011</w:t>
        <w:br/>
        <w:t>regarding the acquisition of a* business of the company Autotec SAS by the company NCCIE SARL</w:t>
        <w:br/>
        <w:t>The Competition Authority,</w:t>
        <w:br/>
        <w:t>Having regard to the notification file submitted in full to the merger service on January 28, 2011, concerning the acquisition by the company NCCIE of a* business of the company Autotec;</w:t>
        <w:br/>
        <w:t>Having regard to Book IV of the Commercial Code relating to the freedom of prices and competition, and in particular its Articles L. 430-1 to L. 430-7;</w:t>
        <w:br/>
        <w:t>Adopts the following decision:</w:t>
        <w:br/>
        <w:t>I. The companies concerned and the operation</w:t>
        <w:br/>
        <w:t>1. The company Nouveau Comptoir Caraïbes d’Importation et d’Exportation (hereinafter, “NCCIE”) is a limited liability company active in Guyana in the trade of cars and light motor vehicles of brands Toyota, Daihatsu, Chevrolet, and Opel in Guyana. The company NCCIE is a wholly owned subsidiary of CFAO SA, the parent company of the CFAO group, active in specialized distribution and services. This group operates in 31 countries in Africa, in the French overseas territories, in Mauritius, in Vietnam, and in mainland France, primarily through direct export sales. CFAO's activities are organized around four poles: the distribution of everyday consumer goods; the import and distribution of pharmaceutical products; technologies; the import and distribution of motor vehicles.</w:t>
        <w:br/>
        <w:t>2. The company Autotec is a simplified joint-stock company whose activity consists of the exclusive import and distribution of Ford brand motor vehicles in Guyana. Autotec is indirectly controlled by Auto Guadeloupe Investissement, the parent company of the Loret group. In addition to Autotec's activities, the Loret group is active in the distribution of vehicles of brands Peugeot, Citroën, Kia, Seat, Chrysler, Jeep, and Dodge in Guyana.</w:t>
        <w:br/>
        <w:t>* Material error corrected.</w:t>
      </w:r>
    </w:p>
    <w:p>
      <w:r>
        <w:t>3. In that it results in the acquisition of exclusive control of a* business of the company Autotec by the company NCCIE, the notified operation constitutes a concentration operation within the meaning of Article L. 430-1 of the Commercial Code.</w:t>
        <w:br/>
        <w:t>4. The companies concerned conduct their activities in an overseas department and together achieve a total worldwide turnover of more than 75 million euros (CFAO group: 2.6 billion euros for the fiscal year ending December 31, 2009; target business: [...] million euros for the fiscal year ending December 31, 2009). Each of the companies concerned achieves in the retail sector in Guyana a turnover of more than 7.5 million euros (CFAO group: [...] million euros for the fiscal year ending December 31, 2009; target business: [...] million euros for the fiscal year ending December 31, 2009). Given these turnover figures, the operation does not have a community dimension. On the other hand, the control thresholds related to retail mentioned in point III of Article L. 430-2 of the Commercial Code are exceeded. The present operation is therefore subject to the provisions of Articles L. 430-3 and following of the Commercial Code relating to economic concentration.</w:t>
        <w:br/>
        <w:t>II. Delimitation of relevant markets</w:t>
        <w:br/>
        <w:t>A. DELIMITATION OF PRODUCT AND SERVICE MARKETS</w:t>
        <w:br/>
        <w:t>5. In the automotive distribution sector, the decision-making practice1 distinguishes (i) the distribution of new motor vehicles intended for individual customers; (ii) the distribution of new motor vehicles intended for professional customers; (iii) the distribution of commercial motor vehicles; (iv) the distribution of used motor vehicles; (v) the distribution of spare parts and automotive accessories; (vi) the distribution of maintenance and repair services for motor vehicles; (vii) the distribution of rental services.</w:t>
        <w:br/>
        <w:t>6. There is no reason to challenge these delimitations during the examination of the present operation.</w:t>
        <w:br/>
        <w:t>7. The companies concerned are simultaneously present in six of these markets, namely (i) the distribution of new motor vehicles intended for individual customers, (ii) the distribution of new motor vehicles intended for professional customers, (iii) the distribution of new commercial vehicles, (iv) the distribution of used vehicles, (v) the distribution of spare parts and automotive accessories, (vi) maintenance and repair services for motor vehicles.</w:t>
        <w:br/>
        <w:t>1 See in particular the decisions of the Competition Authority No. 09-DCC-01 of April 8, 2009, and No. 10-DCC-23 of March 1, 2010.</w:t>
        <w:br/>
        <w:t>* Material error corrected.</w:t>
        <w:br/>
        <w:t>2</w:t>
      </w:r>
    </w:p>
    <w:p>
      <w:r>
        <w:t>B. GEOGRAPHICAL DELIMITATION OF MARKETS</w:t>
        <w:br/>
        <w:t>8. Regarding the retail sale of motor vehicles, new or used, spare parts and automotive accessories, maintenance and repair services for motor vehicles, the decision-making practice2 adopts a local definition, with the analysis generally conducted at the departmental level.</w:t>
        <w:br/>
        <w:t>9. In the present case, there is no reason to challenge this geographical delimitation of the markets. The competitive analysis will be conducted on the department of Guyana.</w:t>
        <w:br/>
        <w:t>III. Competitive Analysis</w:t>
        <w:br/>
        <w:t>10. Concerning the calculation of market shares, the decision-making practice3 uses as an indicator the ratio between the sales of new and used vehicles made by the parties in the departments concerned by the operation and the total registrations of new and used vehicles recorded in these same departments by the prefectures.</w:t>
        <w:br/>
        <w:t>11. In the various markets for the distribution of vehicles concerned by the operation, the parties to the concentration present the following market shares:</w:t>
        <w:br/>
        <w:t>Business</w:t>
        <w:br/>
        <w:t>Group</w:t>
        <w:br/>
        <w:t>Total</w:t>
        <w:br/>
        <w:t>CFAO</w:t>
        <w:br/>
        <w:t>target*</w:t>
        <w:br/>
        <w:t>Distribution of new motor vehicles intended for individual customers</w:t>
        <w:br/>
        <w:t>[10-20] % [5-10] % [20-30] %</w:t>
        <w:br/>
        <w:t>Distribution of new motor vehicles intended for professional customers</w:t>
        <w:br/>
        <w:t>[5-10] % [0-5] % [5-10] %</w:t>
        <w:br/>
        <w:t>Distribution of commercial motor vehicles [10-20] % [5-10] % [20-30]%</w:t>
        <w:br/>
        <w:t>Distribution of used motor vehicles [10-20] % [0-5] % [10-20] %</w:t>
        <w:br/>
        <w:t>12. The automotive distribution sector in Guyana is characterized by the presence of two main operators, the Bernard Hayot and Loret groups, with the business subject to the operation being sold by the latter. These two operators hold shares greater than those of the new entity in most of the relevant markets. The company NCCIE, which currently operates the Toyota, Daihatsu, Chevrolet, and Opel dealerships in the department, will integrate the exclusive distribution of the Ford brand into its activities following the notified operation.</w:t>
        <w:br/>
        <w:t>13. In the market for the distribution of new motor vehicles intended for individual customers, the market share of Ford brand vehicles is [5-10] %. The</w:t>
        <w:br/>
        <w:t>2 See the aforementioned decisions.</w:t>
        <w:br/>
        <w:t>3 See the aforementioned decisions.</w:t>
        <w:br/>
        <w:t>* Material error corrected.</w:t>
        <w:br/>
        <w:t>3</w:t>
      </w:r>
    </w:p>
    <w:p>
      <w:r>
        <w:rPr>
          <w:b/>
        </w:rPr>
        <w:t>[Pages 4–4]</w:t>
      </w:r>
    </w:p>
    <w:p>
      <w:r>
        <w:t>sales of the new entity will therefore represent [20-30] % of the market, compared to [20-30] % for the Loret group and [20-30] % for the Hayot group.</w:t>
      </w:r>
    </w:p>
    <w:p>
      <w:r>
        <w:t>14. In the market for the distribution of new passenger vehicles intended for a professional clientele, the market share of Ford brand vehicles is [0-5] %. The sales of the new entity will therefore represent [5-10] % of the market. It will continue to face competition from the Loret group ([50-60] %) and the Hayot group ([20-30] %).</w:t>
      </w:r>
    </w:p>
    <w:p>
      <w:r>
        <w:t>15. In the market for the distribution of new commercial vehicles, the market share of Ford brand vehicles is [5-10] % and that of the new entity will rise to [20-30] % following the operation. The latter will face competition from the Loret group ([30-40] %) and the Hayot group ([30-40] %).</w:t>
      </w:r>
    </w:p>
    <w:p>
      <w:r>
        <w:t>16. In the market for the distribution of used vehicles, the new entity will hold a market share of [10-20] %, compared to [30-40] % for the Loret group and [20-30] % for the Hayot group.</w:t>
      </w:r>
    </w:p>
    <w:p>
      <w:r>
        <w:t>17. Regarding the market for the distribution of spare parts and automotive accessories and the market for maintenance and repair services for motor vehicles, the notifying party estimated its market share by relating the number of vehicles registered by each dealer to the fleet of vehicles in circulation for the past five years in Guyana. On this basis, the Ford brand would represent [5-10] % of the market, and the sales of the new entity would amount to [20-30] % of the market. However, this data does not take into account the competition exerted by the twenty or so independent garages and repairers in the department, among which are several specialized brands, such as Midas, Point S, Speedy, Maxauto, Autorama, and 3H, all of which are likely to offer consumers identical or equivalent quality spare parts and accessories, as well as maintenance and repair services for motor vehicles similar to those distributed by the parties.</w:t>
      </w:r>
    </w:p>
    <w:p>
      <w:r>
        <w:t>18. In light of the above elements, the operation is not likely to harm competition in the relevant markets.</w:t>
      </w:r>
    </w:p>
    <w:p>
      <w:r>
        <w:t>DECIDES</w:t>
        <w:br/>
        <w:t>Sole Article: The operation notified under number 11-0016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