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https://www.autoritedelaconcurrence.fr/fr/decision-de-controle-des-concentrations/relative-lacquisition-du-fonds-de-commerce-de-la-societe-2</w:t>
      </w:r>
    </w:p>
    <w:p>
      <w:r>
        <w:t>Pages translated : 2</w:t>
      </w:r>
    </w:p>
    <w:p/>
    <w:p>
      <w:r>
        <w:rPr>
          <w:b/>
        </w:rPr>
        <w:t>[Pages 1–2]</w:t>
      </w:r>
    </w:p>
    <w:p>
      <w:r>
        <w:t xml:space="preserve">FRENCH REPUBLIC  </w:t>
        <w:br/>
        <w:t xml:space="preserve">Decision No. 14-DCC-80 of June 17, 2014  </w:t>
        <w:br/>
        <w:t xml:space="preserve">regarding the acquisition of the business assets of the company Schwaller Metz Dbs Auto by the David Gerbier group  </w:t>
        <w:br/>
        <w:t xml:space="preserve">The Competition Authority,  </w:t>
        <w:br/>
        <w:t xml:space="preserve">Having regard to the notification file sent to the mergers department on April 23, 2014, and declared complete on May 16, 2014, concerning the exclusive control acquisition of the business assets of the company Schwaller Metz Dbs Auto by the company Groupe David Gerbier, via its subsidiary AR8 Automobiles, formalized by a takeover offer dated April 16,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from the company Schwaller Metz Dbs Auto, of a business asset for automobile distribution under the Ford brand in the cities of Metz and Terville (57), by the David Gerbier group, which is itself active in automobile distribution in several French departments.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14-067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