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https://www.autoritedelaconcurrence.fr/fr/decision-de-controle-des-concentrations/relative-lacquisition-du-fonds-de-commerce-de-la-societe</w:t>
      </w:r>
    </w:p>
    <w:p>
      <w:r>
        <w:t>Pages translated : 5</w:t>
      </w:r>
    </w:p>
    <w:p/>
    <w:p>
      <w:r>
        <w:rPr>
          <w:b/>
        </w:rPr>
        <w:t>[Pages 1–3]</w:t>
      </w:r>
    </w:p>
    <w:p>
      <w:r>
        <w:t xml:space="preserve">FRENCH REPUBLIC  </w:t>
        <w:br/>
        <w:t xml:space="preserve">Decision No. 11-DCC-09 of January 20, 2011  </w:t>
        <w:br/>
        <w:t xml:space="preserve">regarding the acquisition of the business assets of the company Foucque Automobile by the company CFAO  </w:t>
        <w:br/>
        <w:t xml:space="preserve">The Competition Authority,  </w:t>
        <w:br/>
        <w:t xml:space="preserve">Having regard to the notification file submitted in full to the concentrations service on December 17, 2010, concerning the acquisition by the company CFAO of the business assets of the company Foucque Automobile, in judicial recovery;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CFAO is a public limited company with a supervisory board and management board, active in specialized distribution and services, operating in 31 African countries, in seven French overseas territories, in Mauritius, in Vietnam, and in mainland France, primarily through direct export sales. CFAO's activities are organized around four poles: the distribution of everyday consumer goods, the import and distribution of pharmaceutical products, technologies, and the import and distribution of motor vehicles, notably in La Réunion through its subsidiary CMM, a company involved in the distribution of new vehicles of the brands Toyota, Ford, Volvo, and Lexus, and in the sale of used vehicles. The SAS CFAO Motors Réunion, created for the needs of the operation, will be 100% controlled by CFAO and will have as its exclusive purpose the operation of the target business assets following the operation.  </w:t>
        <w:br/>
        <w:t xml:space="preserve">2. The company Foucque Automobile operates an establishment in Saint Denis de la Réunion (974) whose purpose is the import and distribution of new Citroën vehicles and used vehicles.  </w:t>
        <w:br/>
        <w:t xml:space="preserve">3. By a judgment dated December 1, 2010, the commercial court of Saint Denis de la Réunion opened a judicial recovery procedure for the benefit of the company Foucque Automobile. In this context, the company CFAO submitted an offer dated December 10, 2010, defining the assets it proposed to acquire.  </w:t>
        <w:br/>
        <w:t xml:space="preserve">4. As it results in the acquisition of the business assets of the company Foucque Automobile by the company CFAO, the notified operation constitutes a concentration operation within the meaning of Article L. 430-1 of the Commercial Code. The companies concerned conduct their activities in an overseas department and together achieve a total worldwide turnover of more than 75 million euros (CFAO: 2,582 million euros for the fiscal year ending December 31, 2009; Foucque Automobile: […] million euros for the fiscal year ending December 31, 2009). Each achieves in La Réunion in the retail sector a turnover exceeding 7.5 million euros. Given these turnover figures, the operation does not have a community dimension. On the other hand, the control thresholds related to retail mentioned in point III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5. In the automotive distribution sector, the decisional practice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6. There is no reason to challenge these delimitations during the examination of the present operation.  </w:t>
        <w:br/>
        <w:t xml:space="preserve">7. The companies concerned are simultaneously present in six of these markets, namely (i) the distribution of new passenger vehicles to individual customers, (ii) the distribution of new passenger vehicles intended for professional customers, (iii) the distribution of new commercial vehicles, (iv) the distribution of used vehicles, (v) the distribution of spare parts and automotive accessories, (vi) maintenance and repair services for motor vehicles.  </w:t>
        <w:br/>
        <w:t xml:space="preserve">1 See in particular Decision No. 09-DCC-01 of the Competition Authority of April 8, 2009, and Decision No. 10-DCC-23 of March 1, 2010.  </w:t>
        <w:br/>
        <w:t>2</w:t>
      </w:r>
    </w:p>
    <w:p>
      <w:r>
        <w:t xml:space="preserve">B. GEOGRAPHICAL DELIMITATION OF MARKETS  </w:t>
        <w:br/>
        <w:t xml:space="preserve">8. Regarding the retail sale of motor vehicles, new or used, spare parts and automotive accessories, maintenance and repair services for motor vehicles, the decisional practice retains a local definition, with the analysis generally conducted at the departmental level.  </w:t>
        <w:br/>
        <w:t xml:space="preserve">9. In the present case, there is no reason to challenge this geographical delimitation of the markets. The competitive analysis will be conducted in the department of La Réunion.  </w:t>
        <w:br/>
        <w:t xml:space="preserve">III. Competitive Analysis  </w:t>
        <w:br/>
        <w:t xml:space="preserve">10. Concerning the calculation of market shares, the decisional practice uses as an indicator the ratio between the sales of new and used vehicles made by the parties in the departments concerned by the operation and the total registrations of new and used vehicles recorded in these same departments by the prefectures.  </w:t>
        <w:br/>
        <w:t xml:space="preserve">11. In the various markets concerned by the operation, the parties to the concentration present the following market shares:  </w:t>
        <w:br/>
        <w:t xml:space="preserve">LA RÉUNION  </w:t>
        <w:br/>
        <w:t xml:space="preserve">CFAO Foucque Automobile Cumulative  </w:t>
        <w:br/>
        <w:t xml:space="preserve">Distribution of new passenger vehicles to [10-20] % [0-5] % [10-20] % individual customers  </w:t>
        <w:br/>
        <w:t xml:space="preserve">Distribution of new passenger vehicles to [10-20] % [0-5] % [10-20] % professional customers  </w:t>
        <w:br/>
        <w:t xml:space="preserve">Distribution of new commercial vehicles [10-20] % [10-20] % [20-30] %  </w:t>
        <w:br/>
        <w:t xml:space="preserve">Distribution of used vehicles [10-20] % [5-10] % [20-30] %  </w:t>
        <w:br/>
        <w:t xml:space="preserve">Distribution of spare parts and [10-20] % [10-20] % [20-30] % automotive accessories  </w:t>
        <w:br/>
        <w:t xml:space="preserve">Maintenance and repair services for [10-20] % [10-20] % [20-30] % motor vehicles  </w:t>
        <w:br/>
        <w:t xml:space="preserve">2 See the aforementioned decisions.  </w:t>
        <w:br/>
        <w:t xml:space="preserve">3 See the aforementioned decisions.  </w:t>
        <w:br/>
        <w:t>3</w:t>
      </w:r>
    </w:p>
    <w:p>
      <w:r>
        <w:rPr>
          <w:b/>
        </w:rPr>
        <w:t>[Pages 4–5]</w:t>
      </w:r>
    </w:p>
    <w:p>
      <w:r>
        <w:t xml:space="preserve">12. The automotive distribution sector in La Réunion is characterized by the presence of two major players, the Bernard Hayot group and the Caillé group, which account for between 65 and 70% of sales in the various relevant markets. Each of these groups distributes about ten brands, including Renault for the former and Peugeot for the latter. CFAO holds the concessions for Toyota, Ford, Lexus, and Volvo and, through the notified operation, acquires the Citroën dealership. Most manufacturers have only one dealer in the department, and these dealers purchase vehicles directly from the manufacturers.  </w:t>
        <w:br/>
        <w:t xml:space="preserve">13. In the market for the distribution of new passenger vehicles intended for individual customers, the market share of Citroën brand vehicles is limited to just over [0-5]% and the sales of the CFAO group will amount to [10-20]% of the total, compared to [30-40]% for the Bernard Hayot group and [30-40]% for the Caillé group. The situation is comparable for the market for the distribution of new passenger vehicles intended for professional customers, in which the CFAO group will hold a market share of [10-20]%, compared to [40-50]% for the Bernard Hayot group and [30-40]% for the Caillé group.  </w:t>
        <w:br/>
        <w:t xml:space="preserve">14. In the market for the distribution of new commercial vehicles, the brands distributed by the CFAO group will represent [20-30]% of the total. In this market, in addition to the Bernard Hayot group ([30-40]% market share) and the Caillé group ([20-30]%), there are also two other distributors, the Soreva and Sogecore groups, whose market shares are estimated by the parties to be [0-5]% and [0-5]% respectively.  </w:t>
        <w:br/>
        <w:t xml:space="preserve">15. In the market for the distribution of used vehicles, the CFAO group will hold, in the department of La Réunion, a market share of [20-30]%, behind the Bernard Hayot group, which currently holds, according to the parties' estimates, [30-40]% market share, and the Caillé group whose market share is estimated at [30-40]%.  </w:t>
        <w:br/>
        <w:t xml:space="preserve">16. In the market for the retail sale of spare parts and automotive accessories and in the market for maintenance and repair services for motor vehicles, the parties estimated their market share at [20-30]%, and those of the Bernard Hayot group and the Caillé group at [30-40]% and [30-40]% respectively. Since most manufacturers have only one dealer, the structure of competition exercised among dealers in these markets is not affected by the operation.  </w:t>
        <w:br/>
        <w:t xml:space="preserve">17. Furthermore, there are nearly 400 independent garages and repairers, as well as specialized brands such as Midas, Point S, Speedy, or Sorepneu, likely to offer consumers identical or equivalent quality spare parts and accessories, and maintenance and repair services for motor vehicles similar to those distributed by the CFAO company.  </w:t>
        <w:br/>
        <w:t>18. In light of the above elements, the operation is not likely to harm competition in the relevant markets.</w:t>
      </w:r>
    </w:p>
    <w:p>
      <w:r>
        <w:t xml:space="preserve">DECIDES  </w:t>
        <w:br/>
        <w:t xml:space="preserve">Single Article: The operation notified under number 10-0231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