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https://www.autoritedelaconcurrence.fr/fr/decision-de-controle-des-concentrations/relative-lacquisition-du-groupe-findis-par-activa-capital</w:t>
      </w:r>
    </w:p>
    <w:p>
      <w:r>
        <w:t>Pages translated : 2</w:t>
      </w:r>
    </w:p>
    <w:p/>
    <w:p>
      <w:r>
        <w:rPr>
          <w:b/>
        </w:rPr>
        <w:t>[Pages 1–2]</w:t>
      </w:r>
    </w:p>
    <w:p>
      <w:r>
        <w:t xml:space="preserve">FRENCH REPUBLIC  </w:t>
        <w:br/>
        <w:t xml:space="preserve">Decision No. 11-DCC-43 of March 15, 2011  </w:t>
        <w:br/>
        <w:t xml:space="preserve">regarding the acquisition of the Findis Group by Activa Capital Fund II  </w:t>
        <w:br/>
        <w:t xml:space="preserve">FCPR  </w:t>
        <w:br/>
        <w:t xml:space="preserve">The Competition Authority,  </w:t>
        <w:br/>
        <w:t xml:space="preserve">Having regard to the complete notification file sent to the mergers department on February 21, 2011, concerning the acquisition of the Findis Group by Activa Capital Fund II FCPR, formalized by a memorandum of understanding dated February 13, 2011;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of the Findis Group, active in the distribution of household appliances, image and sound products, as well as kitchen utensils, by the investment fund FCPR Activa Capital Fund II, managed by the company Activa Capital SAS, and constitutes a concentration operation within the meaning of Article L. 430-1 of the Commercial Code. Given the turnover achieved by the concerned companies, the operation does not have a community dimension. On the other hand,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11-0031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