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https://www.autoritedelaconcurrence.fr/fr/decision-de-controle-des-concentrations/relative-lacquisition-du-groupe-gerflor-par-icg</w:t>
      </w:r>
    </w:p>
    <w:p>
      <w:r>
        <w:t>Pages translated : 2</w:t>
      </w:r>
    </w:p>
    <w:p/>
    <w:p>
      <w:r>
        <w:rPr>
          <w:b/>
        </w:rPr>
        <w:t>[Pages 1–2]</w:t>
      </w:r>
    </w:p>
    <w:p>
      <w:r>
        <w:t xml:space="preserve">FRENCH REPUBLIC  </w:t>
        <w:br/>
        <w:t xml:space="preserve">Decision No. 11-DCC-31 of February 24, 2011  </w:t>
        <w:br/>
        <w:t xml:space="preserve">regarding the acquisition of the GERFLOR group by ICG  </w:t>
        <w:br/>
        <w:t xml:space="preserve">The Competition Authority,  </w:t>
        <w:br/>
        <w:t xml:space="preserve">Having regard to the complete notification file sent to the mergers department on February 4, 2011,  </w:t>
        <w:br/>
        <w:t xml:space="preserve">concerning the acquisition of the company Floor’In SAS and its direct and indirect subsidiaries (Gerflor group) by the company Intermediate Capital Group Plc and the funds it manages (hereinafter "ICG"), formalized by a purchase promise from ICG countersigned by the sellers on January 25, 2011, to which is attached the LBO project by which executives of the Gerflor group will invest alongside ICG;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1. The notified operation consists of the exclusive control of the company Floor’In SAS, its operational subsidiary Gerflor SAS, and the companies they control directly or indirectly by ICG, active in the flooring markets, and constitutes a concentration operation within the meaning of Article L. 430-1 of the Commercial Code.  </w:t>
        <w:br/>
        <w:t xml:space="preserve">2. Given the turnover achieved by the companies concerned, the operation does not have a community dimension. However,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operation notified under number 11-0022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