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https://www.autoritedelaconcurrence.fr/fr/decision-de-controle-des-concentrations/relative-lacquisition-du-groupe-la-lievinoise-par-barclays</w:t>
      </w:r>
    </w:p>
    <w:p>
      <w:r>
        <w:t>Pages translated : 3</w:t>
      </w:r>
    </w:p>
    <w:p/>
    <w:p>
      <w:r>
        <w:rPr>
          <w:b/>
        </w:rPr>
        <w:t>[Pages 1–3]</w:t>
      </w:r>
    </w:p>
    <w:p>
      <w:r>
        <w:t xml:space="preserve">FRENCH REPUBLIC  </w:t>
        <w:br/>
        <w:t xml:space="preserve">Decision No. 10-DCC-54 of June 8, 2010  </w:t>
        <w:br/>
        <w:t>regarding the acquisition of the La Liévinoise group by Barclays Private Equity France SAS</w:t>
      </w:r>
    </w:p>
    <w:p>
      <w:r>
        <w:t xml:space="preserve">The Competition Authority,  </w:t>
        <w:br/>
        <w:t xml:space="preserve">Having regard to the notification file submitted in full to the merger service on May 18, 2010, regarding the acquisition of the La Liévinoise group by Barclays Private Equity France SAS, formalized by a transfer protocol dated May 10, 2010;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transaction  </w:t>
        <w:br/>
        <w:t xml:space="preserve">A. THE COMPANIES  </w:t>
        <w:br/>
        <w:t xml:space="preserve">1. Barclays Private Equity France (hereinafter "BPEF") is a simplified joint-stock company under French law, 100% owned by the French branch of Barclays Bank PLC. BPEF performs the functions of a management company with respect to the funds Barclays Private Equity III FCPR A (hereinafter "BPEF A") and Barclays Private Equity FCPR C (hereinafter "BPEF C").  </w:t>
        <w:br/>
        <w:t xml:space="preserve">2. The Barclays group achieved a global turnover of [&gt;150] million euros in 2009, the last closed fiscal year, of which [&gt;50] million euros were in France.  </w:t>
        <w:br/>
        <w:t>3. The La Liévinoise group includes the company Liévinoise de Participations, which holds 100% of the capital and voting rights of the companies Profalux and Sigma 6, the latter holding the entirety of the capital of the company La Toulousaine. Prior to the transaction, the capital of Liévinoise de Participations was held [&lt;50]% by the venture capital fund (hereinafter "FCPR") Middle Market Fund II, [&lt;50]% by the X family, with the remainder of the capital distributed among various FCPRs and private investors.</w:t>
      </w:r>
    </w:p>
    <w:p>
      <w:r>
        <w:t xml:space="preserve">4. The La Liévinoise group specializes in the design, manufacture, and distribution of custom building closures. The group offers a range of products organized around six main families: curtains, grilles, industrial sectional garage doors; residential sectional doors, gates, and roller shutters.  </w:t>
        <w:br/>
        <w:t xml:space="preserve">5. In 2009, the last closed fiscal year, the La Liévinoise group achieved a global turnover of […] million euros, of which [&gt;50] million euros were in France.  </w:t>
        <w:br/>
        <w:t xml:space="preserve">B. THE TRANSACTION  </w:t>
        <w:br/>
        <w:t xml:space="preserve">6. The entire capital of the company Liévinoise de Participations will be acquired by Newco, a simplified joint-stock company created in 2007 and inactive since its creation, which is currently 100% owned by BPEF.  </w:t>
        <w:br/>
        <w:t xml:space="preserve">7. Upon completion of the transaction, the capital and voting rights of Newco will be held by:  </w:t>
        <w:br/>
        <w:t xml:space="preserve">the funds BPEF A and BPEF C, at [&gt;50]%1;  </w:t>
        <w:br/>
        <w:t xml:space="preserve">Mr. Y, at [&lt;50]%;  </w:t>
        <w:br/>
        <w:t xml:space="preserve">Mr. Z, at [&lt;50]%;  </w:t>
        <w:br/>
        <w:t xml:space="preserve">Mr. A, at [&lt;50]%  </w:t>
        <w:br/>
        <w:t xml:space="preserve">the other executives of the La Liévinoise group, at [&lt;50]%.  </w:t>
        <w:br/>
        <w:t xml:space="preserve">8. The statutes, supplemented by a shareholders' agreement2, provide that the company Newco will be equipped with a supervisory board and a management board whose members will be appointed by the supervisory board. The latter will be composed of […] members with voting rights appointed by the partners, of which [more than half] will be proposed by the Barclays funds, thus holding more than half of the votes. The decisions3 of the supervisory board will also be made according to the simple majority rule.  </w:t>
        <w:br/>
        <w:t xml:space="preserve">9. In light of the above, BPEF will hold exclusive control of the La Liévinoise group upon completion of the proposed transaction.  </w:t>
        <w:br/>
        <w:t xml:space="preserve">* * *  </w:t>
        <w:br/>
        <w:t xml:space="preserve">10. Insofar as it results in the exclusive control of the La Liévinoise group by BPEF, the notified transaction constitutes a concentration within the meaning of Article L. 430-1 of the Commercial Code. Given the turnover of the companies concerned, it does not have a community dimension. However, the control thresholds mentioned in Article L. 430-2 of the Commercial Code are exceeded. The present transaction is therefore subject to the provisions of Articles L. 430-3 and following of the Commercial Code relating to economic concentration.  </w:t>
        <w:br/>
        <w:t xml:space="preserve">1 Namely […]% for BPEF A and […]% for BPEF C.  </w:t>
        <w:br/>
        <w:t xml:space="preserve">2 Appendix 3 of the letter from BPEF outlining the investment conditions for executives in the context of the transaction dated May 10, 2010, signed by BPEF and the executives of the La Liévinoise group.  </w:t>
        <w:br/>
        <w:t>3 Said decisions will notably concern the appointment or dismissal of the president of Newco as well as any substantial modification of the group's direction.</w:t>
      </w:r>
    </w:p>
    <w:p>
      <w:r>
        <w:t xml:space="preserve">II. Competitive Analysis  </w:t>
        <w:br/>
        <w:t xml:space="preserve">11. Some funds managed by BPEF acquired exclusive control of the company APEM in December 2006, which is primarily active in the manufacturing sector of switches and professional keyboards. APEM notably markets professional switches intended for the building sector and which may be acquired by the La Liévinoise group for the realization of electric or electronic closure systems. However, insofar as the supply of the target represents a marginal share of the demand for professional switches (its annual budget for such a component is between [0 and 200,000] euros), any competitive concern can be dismissed.  </w:t>
        <w:br/>
        <w:t xml:space="preserve">12. The Barclays group does not control any competing company of the La Liévinoise group, nor is it active in an upstream, downstream, or related market, other than the aforementioned company, thus the transaction does not entail any other overlap.  </w:t>
        <w:br/>
        <w:t>13. In light of the above, the transaction is not likely to harm competition.</w:t>
      </w:r>
    </w:p>
    <w:p>
      <w:r>
        <w:t xml:space="preserve">DECIDES  </w:t>
        <w:br/>
        <w:t xml:space="preserve">Single Article: The transaction notified under number 10-0068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