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https://www.autoritedelaconcurrence.fr/fr/decision-de-controle-des-concentrations/relative-lacquisition-du-groupe-saverglass-par-la-societe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11-DCC-93 of June 15, 2011  </w:t>
        <w:br/>
        <w:t xml:space="preserve">regarding the acquisition of the Saverglass group by Astorg Partners  </w:t>
        <w:br/>
        <w:t xml:space="preserve">The Competition Authority,  </w:t>
        <w:br/>
        <w:t xml:space="preserve">Having regard to the complete notification file submitted to the mergers department on May 20, 2011, concerning the acquisition of the Saverglass group by Astorg Partners;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Saverglass group, active in the glass packaging sector, by the investment fund Astorg Partners, and constitutes a concentration operation within the meaning of Article L. 430-1 of the Commercial Code. Considering the turnover achieved by the concerned companies, the operation does not have a community dimension. On the other hand, the control thresholds relating to concentration operations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11-0087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