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https://www.autoritedelaconcurrence.fr/fr/decision-de-controle-des-concentrations/relative-lacquisition-du-groupe-titouan-par-le-groupe</w:t>
      </w:r>
    </w:p>
    <w:p>
      <w:r>
        <w:t>Pages translated : 9</w:t>
      </w:r>
    </w:p>
    <w:p/>
    <w:p>
      <w:r>
        <w:rPr>
          <w:b/>
        </w:rPr>
        <w:t>[Pages 1–3]</w:t>
      </w:r>
    </w:p>
    <w:p>
      <w:r>
        <w:t xml:space="preserve">FRENCH REPUBLIC  </w:t>
        <w:br/>
        <w:t xml:space="preserve">Decision No. 11-DCC-78 of May 18, 2011  </w:t>
        <w:br/>
        <w:t>regarding the acquisition of the Titouan group by the Conforama group</w:t>
      </w:r>
    </w:p>
    <w:p>
      <w:r>
        <w:t xml:space="preserve">The Competition Authority,  </w:t>
        <w:br/>
        <w:t xml:space="preserve">Having regard to the notification file submitted in full to the merger service on April 12, 2011, regarding the acquisition of the Titouan group by the Conforama group, formalized by a transfer and guarantee protocol [Confidential];  </w:t>
        <w:br/>
        <w:t xml:space="preserve">Having regard to Book IV of the Commercial Code relating to price freedom and competition, and in particular Articles L. 430-1 to L. 430-7;  </w:t>
        <w:br/>
        <w:t>Adopts the following decision:</w:t>
      </w:r>
    </w:p>
    <w:p>
      <w:r>
        <w:t xml:space="preserve">I. The concerned companies and the operation  </w:t>
        <w:br/>
        <w:t xml:space="preserve">1. The Conforama group consists of the simplified joint-stock company Conforama Développement, which holds 99.98% of the capital of Conforama Holding, a company controlling a set of subsidiaries active in the retail trade of furniture, decoration, and household appliances. The Conforama group operates 239 stores, of which 181 are in mainland France. The Conforama group is wholly owned by the Steinhoff group, which is notably active in Europe in the production and supply of furniture.  </w:t>
        <w:br/>
        <w:t xml:space="preserve">2. Titouan is a simplified joint-stock company that holds exclusive direct or indirect control over the companies PIER.S, Mission, Rego Distribution, Rego Services, and Etablissements Poirel, SODEB, and Meubles 2000. These various companies currently operate under the But brand in commercial sales areas in the cities of Chelles (77), Meaux (77), Lunéville (54), Nancy (54), Saint Genis Pouilly (01), Vesoul (70), and Besançon (25).  </w:t>
        <w:br/>
        <w:t xml:space="preserve">3. Under the transfer and guarantee protocol [Confidential], Conforama Développement has committed to acquiring the Titouan group excluding the companies Sodeb and Meubles 2000 (operating the stores located in Vesoul and Besançon), which will be sold before the operation.  </w:t>
        <w:br/>
        <w:t>4. Insofar as it results in the exclusive control of the Titouan group by the Steinhoff group via the company Conforama Développement, the notified operation constitutes a concentration operation within the meaning of Article L. 430-1 of the Commercial Code. The concerned companies operate one or more retail stores and together achieve a total worldwide turnover of more than 75 million euros (Steinhoff group (excluding Conforama): 4.5 billion euros for the fiscal year ending June 30, 2010; Conforama group: 3 billion euros for the fiscal year ending December 31, 2010; Titouan group: [...] million euros for the fiscal year ending December 31, 2009). Each achieves in France in the retail sector a turnover exceeding 15 million euros (Steinhoff group (excluding Conforama): [...] million euros for the fiscal year ending June 30, 2010; Conforama group: [...] billion euros for the fiscal year ending December 31, 2010; Titouan group: [...] million euros for the fiscal year ending December 31, 2009). Given these turnover figures, the operation does not have a community dimension. However, the control thresholds related to retail mentioned in point II of Article L. 430-2 of the Commercial Code are exceeded. The present operation is therefore subject to the provisions of Articles L. 430-3 and following of the Commercial Code relating to economic concentration.</w:t>
      </w:r>
    </w:p>
    <w:p>
      <w:r>
        <w:t xml:space="preserve">II. Delimitation of relevant markets  </w:t>
        <w:br/>
        <w:t xml:space="preserve">A. DELIMITATION OF MARKETS IN TERMS OF PRODUCTS AND SERVICES  </w:t>
        <w:br/>
        <w:t xml:space="preserve">5. In the retail sector, competition authorities generally recognize two categories of markets: (i) downstream markets, of a local dimension, which bring together retail companies and final consumers, and (ii) upstream markets for the supply of retail companies.  </w:t>
        <w:br/>
        <w:t xml:space="preserve">6. As recalled by the Competition Council in the Cafom/Fincar opinion, "the type of products sold is one of the most important criteria for delimiting markets in the retail sector." Furthermore, "the format and size of the store are also important criteria for market delimitation in that, in particular, they determine the ability of the point of sale in question to market a greater or lesser number of products or to offer certain ancillary services. Large specialized stores (GSS) are thus distinguished from large food stores (GSA) and proximity stores."  </w:t>
        <w:br/>
        <w:t>7. In this case, the parties are simultaneously active in the retail sector of household appliances, furniture products, and decoration and bazaar products. Furthermore, the Steinhoff group is present in the upstream market for the supply of furniture. The competitive analysis will therefore focus on these activities, distinguishing, where applicable, according to the types of stores concerned.</w:t>
      </w:r>
    </w:p>
    <w:p>
      <w:r>
        <w:t xml:space="preserve">1. DOWNSTREAM MARKETS FOR THE RETAIL DISTRIBUTION OF HOUSEHOLD APPLIANCES  </w:t>
        <w:br/>
        <w:t xml:space="preserve">8. Regarding the retail sale of household appliances, competition authorities usually distinguish three categories of products: "white," "brown," and "grey."  </w:t>
        <w:br/>
        <w:t xml:space="preserve">9. The category of "white" products includes, in particular, cooktops, stoves, ovens, built-in sets, hoods, washing machines, dryers, dishwashers, refrigerators, freezers, small kitchen appliances, and air conditioning products.  </w:t>
        <w:br/>
        <w:t xml:space="preserve">10. The category of "brown" products includes, in particular, televisions, VCRs, camcorders, hi-fi and audio equipment, digital devices, and DVD players.  </w:t>
        <w:br/>
        <w:t xml:space="preserve">11. The category of "grey" products includes, in particular, personal computers, screens, peripherals (such as printers or scanners), keyboards, modular accessories or spare parts (such as memory cards or additional hard drives, for example), and may extend to software and telephony.  </w:t>
        <w:br/>
        <w:t>12. Regarding segmentation by distribution channel, competition authorities have noted that GSS are traditionally distinguished from GSA by broader product ranges and assortments. Nevertheless, some GSA have permanent sections and offer a significant number of references of household appliances with the same characteristics in terms of products and services as GSS. These sections therefore exert sufficient competitive pressure on GSS to be included in the relevant market.</w:t>
      </w:r>
    </w:p>
    <w:p>
      <w:r>
        <w:t xml:space="preserve">2. DOWNSTREAM MARKETS FOR THE RETAIL DISTRIBUTION OF FURNITURE PRODUCTS  </w:t>
        <w:br/>
        <w:t xml:space="preserve">13. Furniture and decoration products encompass all products intended to furnish the rooms of a dwelling (chairs, sofas, tables, kitchen elements, bathroom elements, bedding, buffets, storage, desks, etc.) as well as all products intended to decorate this dwelling (curtains, rugs, lighting, various decorative objects, etc.).  </w:t>
        <w:br/>
        <w:t xml:space="preserve">14. Regarding the retail sale of furniture products, competition authorities have retained a market for the distribution of furniture products by distribution channel. The stores concerned by the present operation fall within the category of GSS and are involved in "the distribution of furniture through points of sale offering the final consumer a wide assortment of products, excluding decorative objects, throughout the year."  </w:t>
        <w:br/>
        <w:t>15. The stores under the Conforama and But brands thus offer a complete and permanent assortment of furniture for the entire house and can, in this respect, be classified as generalists. In this regard, the notifying party believes that GSS specialized in the field of furniture can be considered as direct competitors of GSA, particularly when they have established themselves in the vicinity of hypermarkets. The consumer exerts competition between the aisles of the hypermarket and the specialized brand, which can be very strong on certain products.</w:t>
      </w:r>
    </w:p>
    <w:p>
      <w:r>
        <w:rPr>
          <w:b/>
        </w:rPr>
        <w:t>[Pages 4–6]</w:t>
      </w:r>
    </w:p>
    <w:p>
      <w:r>
        <w:t>bedding, kitchen, or living room furniture constitute direct competitors of the parties to the transaction. However, while specialists provide a real alternative for a portion of the clientele with specific and limited furnishing needs, they do not appear to be the closest competitors to generalists from whom it is possible to meet all furnishing needs.</w:t>
      </w:r>
    </w:p>
    <w:p>
      <w:r>
        <w:t>16. Finally, the French competition authorities have considered a segmentation in terms of product range, taking into account the differences in price and service offered. In this case, the parties to the transaction are active in the marketing of "low-end" and "mid-range" furniture, as opposed to "high-end" stores, notably represented by the brands Roche Bobois, Ligne Roset, Cinna, or Bo Concept.</w:t>
      </w:r>
    </w:p>
    <w:p>
      <w:r>
        <w:t>3. DOWNSTREAM MARKETS FOR THE RETAIL DISTRIBUTION OF BAZAAR AND DECORATION PRODUCTS</w:t>
      </w:r>
    </w:p>
    <w:p>
      <w:r>
        <w:t>17. The competition authorities have distinguished the distribution of bazaar and decoration products, defined as various items associated with the distribution of "furnishing" furniture to equip and decorate the home, from that of furniture, due to differences in the assortment of suppliers, purchasing behaviors, as well as the functions of the products concerned, with bazaar-decoration products being complementary to furniture7. For these products, the competitive analysis will focus on sales in hypermarkets.</w:t>
      </w:r>
    </w:p>
    <w:p>
      <w:r>
        <w:t>18. In any case, the exact delimitation of the downstream market for bazaar and decoration products can be left open, as the conclusions of the competitive analysis will remain unchanged, regardless of the hypotheses considered.</w:t>
      </w:r>
    </w:p>
    <w:p>
      <w:r>
        <w:t>4. UPSTREAM MARKETS FOR THE SUPPLY OF HOUSEHOLD APPLIANCES, FURNITURE PRODUCTS, AND BAZAAR AND DECORATION PRODUCTS</w:t>
      </w:r>
    </w:p>
    <w:p>
      <w:r>
        <w:t>19. Regarding upstream supply markets, the competition authorities noted that "producers manufacture specific products or groups of products and are not technically able to easily convert to the manufacture of other products without significant costs"8. Furthermore, the Competition Council indicated "that at the level of supplies, it can be considered that there are as many markets as there are families of products subject to negotiation, with each distributor putting various suppliers in competition in each of the markets"9.</w:t>
      </w:r>
    </w:p>
    <w:p>
      <w:r>
        <w:t>20. Thus, a distribution by product group can be considered relevant.</w:t>
      </w:r>
    </w:p>
    <w:p>
      <w:r>
        <w:t>21. Specifically regarding the supply of household appliances, furniture, and bazaar and decoration products, the Competition Council, taking into account the organization of the "purchasing" divisions of distributors, identified the following markets10:</w:t>
      </w:r>
    </w:p>
    <w:p>
      <w:r>
        <w:t>- furniture;</w:t>
        <w:br/>
        <w:t>- bazaar-decoration;</w:t>
        <w:br/>
        <w:t>- small household appliances;</w:t>
        <w:br/>
        <w:t>- large household appliances;</w:t>
        <w:br/>
        <w:t>- cameras/film;</w:t>
        <w:br/>
        <w:t>- Hi-fi/sound equipment;</w:t>
        <w:br/>
        <w:t>- TV/video equipment.</w:t>
      </w:r>
    </w:p>
    <w:p>
      <w:r>
        <w:t>22. There is no reason to challenge this delimitation on the occasion of the present operation.</w:t>
      </w:r>
    </w:p>
    <w:p>
      <w:r>
        <w:t>23. In this case, the parties to the transaction are both active as buyers in this market. Conforama, through the Steinhoff group, is also active as a supplier of furniture.</w:t>
      </w:r>
    </w:p>
    <w:p>
      <w:r>
        <w:t>B. GEOGRAPHICAL DELIMITATION OF MARKETS</w:t>
      </w:r>
    </w:p>
    <w:p>
      <w:r>
        <w:t>1. DOWNSTREAM MARKETS FOR THE DISTRIBUTION OF HOUSEHOLD APPLIANCES, FURNITURE PRODUCTS, AND BAZAAR AND DECORATION PRODUCTS</w:t>
      </w:r>
    </w:p>
    <w:p>
      <w:r>
        <w:t>24. Regarding the downstream markets for the retail distribution of household appliances, furniture products, and bazaar and decoration products, the competition authorities consider them to be of a local dimension11. It has been considered that, for this type of purchase, consumers were willing to travel for a duration of 20 to 45 minutes to reach a store12. This duration, however, varies depending on the characteristics of each area, such as geography, population density, or the state of the supply itself. The actual behavior of consumers in a given area can be specified with data collected by stores on the location of their customers weighted by the relevant turnover13. It is generally considered that the catchment area of the store can be limited to that in which 80% of the store's turnover is achieved14, the remainder being considered as occasional clientele.</w:t>
      </w:r>
    </w:p>
    <w:p>
      <w:r>
        <w:t>25. In this case, the analysis was conducted for the areas of Chelles, Meaux, Nancy, Lunéville, and Saint Genis Pouilly based on isochrone areas of 30 or 45 minutes of travel by car around the relevant points of sale and refined based on the actual location of the store's customers.</w:t>
      </w:r>
    </w:p>
    <w:p>
      <w:r>
        <w:t>11 See in particular decision no. 09-DCC-21 of July 23, 2009, and decision no. 09-DCC-62 of November 2, 2009, cited above.</w:t>
      </w:r>
    </w:p>
    <w:p>
      <w:r>
        <w:t>12 Opinion of the Competition Council no. 07-A-06 cited above.</w:t>
      </w:r>
    </w:p>
    <w:p>
      <w:r>
        <w:t>13 Customers' postal codes are requested at checkout.</w:t>
      </w:r>
    </w:p>
    <w:p>
      <w:r>
        <w:t>14 See decision no. 09-DCC-21 of July 23, 2009, regarding the exclusive control of the company DVMM by the But group.</w:t>
      </w:r>
    </w:p>
    <w:p>
      <w:r>
        <w:t>2. UPSTREAM MARKETS FOR THE SUPPLY OF HOUSEHOLD APPLIANCES, FURNITURE PRODUCTS, AND BAZAAR AND DECORATION PRODUCTS</w:t>
      </w:r>
    </w:p>
    <w:p>
      <w:r>
        <w:t>26. Regarding supply markets, the decision-making practice of competition authorities has considered at least a national, or even European, dimension15.</w:t>
      </w:r>
    </w:p>
    <w:p>
      <w:r>
        <w:t>27. There is no reason to challenge this delimitation on the occasion of the present operation.</w:t>
      </w:r>
    </w:p>
    <w:p>
      <w:r>
        <w:t>III. Competitive Analysis</w:t>
      </w:r>
    </w:p>
    <w:p>
      <w:r>
        <w:t>28. The competitive analysis is based, at the national level, on an estimation of market shares in value. At the local level, however, in accordance with decision-making practice and given the difficulty of reliably estimating the turnover achieved by competing stores in an area, market shares are evaluated by sales area. A competing operator communicated during the investigation its own estimates of the market shares held locally by the parties, estimated in value. The conclusions that can be drawn from these estimates do not differ significantly from those presented below.</w:t>
      </w:r>
    </w:p>
    <w:p>
      <w:r>
        <w:t>A. SUPPLY MARKETS</w:t>
      </w:r>
    </w:p>
    <w:p>
      <w:r>
        <w:t>29. The notifying party was unable to provide the positions of the target and the acquirer in the upstream supply market to assess any potential horizontal effects of the operation on this market. However, it considered that their respective positions as buyers in the upstream supply market were approximately equivalent to their position in the downstream distribution market.</w:t>
      </w:r>
    </w:p>
    <w:p>
      <w:r>
        <w:t>30. In the national distribution market, the Conforama group has a market share in value of [10-20]% and the Titouan group only [0-5]%. The operation therefore only marginally strengthens the buyer position of the Conforama group. The operation is therefore not likely to raise competition concerns through horizontal effects.</w:t>
      </w:r>
    </w:p>
    <w:p>
      <w:r>
        <w:t>31. Furthermore, the Steinhoff group is present in the supply market as a supplier of furniture. However, the slight strengthening of the Conforama group downstream allows for the dismissal of any competition concerns arising from potential vertical effects.</w:t>
      </w:r>
    </w:p>
    <w:p>
      <w:r>
        <w:t>15 See the decisions of the European Commission M 4392 of November 30, 2006, DSGI/FR-Invest/F-Group JV and M 4226 of June 26, 2006, DSGI/Fotovista.</w:t>
      </w:r>
    </w:p>
    <w:p>
      <w:r>
        <w:rPr>
          <w:b/>
        </w:rPr>
        <w:t>[Pages 7–9]</w:t>
      </w:r>
    </w:p>
    <w:p>
      <w:r>
        <w:t>B. THE MARKETS FOR THE RETAIL DISTRIBUTION OF FURNITURE PRODUCTS, HOUSEHOLD APPLIANCES, AND BAZAAR AND DECORATION PRODUCTS</w:t>
      </w:r>
    </w:p>
    <w:p>
      <w:r>
        <w:t>1. THE FURNITURE MARKET</w:t>
      </w:r>
    </w:p>
    <w:p>
      <w:r>
        <w:t>32. As previously stated, the notifying party estimated Conforama's market share in value, at the national level, to be [10-20] %. The five target stores represent approximately [0-5] % of the market. The operation therefore results in only a slight strengthening of the Conforama group at the national level.</w:t>
      </w:r>
    </w:p>
    <w:p>
      <w:r>
        <w:t>33. At the local level, Conforama's market share after the operation in a catchment area of 30 or 45 minutes will not exceed 25 % in the areas of St Geny and Chelles, not taking into account stores specializing in a single type of product (kitchen specialists, living rooms, etc.) or in high-end furniture.</w:t>
      </w:r>
    </w:p>
    <w:p>
      <w:r>
        <w:t>34. In Meaux, Conforama's market share after the operation would be [20-30] % in a 30-minute area and [20-30] % in a 45-minute area. Conforama will continue to face competition from Ikea with [20-30] % market share, Alinea ([10-20] %), and But ([10-20] %).</w:t>
      </w:r>
    </w:p>
    <w:p>
      <w:r>
        <w:t>35. In Nancy, Conforama's market share after the operation would be [30-40] % in a 30-minute area and [20-30] % in a 45-minute area. Conforama will continue to face competition from an Alinea store and an Atlas store, each representing [20-30] % of the sales area.</w:t>
      </w:r>
    </w:p>
    <w:p>
      <w:r>
        <w:t>Conforama Titouan Total</w:t>
        <w:br/>
        <w:t>St Geny</w:t>
        <w:br/>
        <w:t>- 30 mins [10-20] % [0-5] % [10-20] %</w:t>
        <w:br/>
        <w:t>- 45 mins [10-20] % [0-5] % [10-20] %</w:t>
        <w:br/>
        <w:t>Chelles</w:t>
        <w:br/>
        <w:t>- 30 mins [10-20] % [5-10] % [20-30] %</w:t>
        <w:br/>
        <w:t>- 45 mins [20-30] % [0-5] % [20-30] %</w:t>
        <w:br/>
        <w:t>Meaux</w:t>
        <w:br/>
        <w:t>- 30 mins [10-20] % [5-10] % [20-30] %</w:t>
        <w:br/>
        <w:t>- 45 mins [20-30] % [0-5] % [20-30] %</w:t>
        <w:br/>
        <w:t>Nancy</w:t>
        <w:br/>
        <w:t>- 30 mins [10-20] % [20-30] % [30-40] %</w:t>
        <w:br/>
        <w:t>- 45 mins [10-20] % [5-10] % [20-30] %</w:t>
      </w:r>
    </w:p>
    <w:p>
      <w:r>
        <w:t>54. Regarding the Titouan store in Lunéville, it is located 30 minutes from Nancy to the northwest and 45 minutes from St Dié to the southeast, cities where several large furniture stores, including Conforama stores, are located. The parties have provided the actual sales location data for this store. It appears that more than 90 % of the sales are concentrated in an area of less than 30 minutes of travel time around the store, which does not include either Nancy or St Dié, with Nancy representing only [0-5] % of the target store's sales and St Dié [0-5] %. In this actual catchment area of the Titouan store in Lunéville, Conforama does not hold any other store, and the operation therefore does not lead to any overlap.</w:t>
      </w:r>
    </w:p>
    <w:p>
      <w:r>
        <w:t>55. In any case, by aggregating Nancy and St Dié to this catchment area, Conforama would total [30-40] % of the generalist sales areas.</w:t>
      </w:r>
    </w:p>
    <w:p>
      <w:r>
        <w:t>56. The operation is therefore not likely to raise competition issues through horizontal effects in the relevant local areas.</w:t>
      </w:r>
    </w:p>
    <w:p>
      <w:r>
        <w:t>2. THE MARKET FOR HOUSEHOLD APPLIANCES</w:t>
      </w:r>
    </w:p>
    <w:p>
      <w:r>
        <w:t>57. As a preliminary point, at the national level, considering large retail stores (GSS) and supermarkets (GSA), the parties estimate Conforama's market share in value in the household appliances market, across all categories, to be [5-10] % compared to less than [0-5] % for Titouan. Considering the segmentation by product category (white, brown, gray), Conforama's market share in value never exceeds [5-10] % (white goods), while the Titouan group's share remains negligible.</w:t>
      </w:r>
    </w:p>
    <w:p>
      <w:r>
        <w:t>58. At the local level, the parties were unable to provide their market shares for each category of household appliances. However, across all products and regardless of the geographical delimitation retained, in the areas of Meaux, Chelles, Nancy, Lunéville, and Saint Genis Pouilly, the new entity never controls more than 15 % of the sales areas when considering GSS and GSA. In each of these areas, the brands Darty, Boulanger, and/or Saturn are present, each having market shares in surface area greater than that of the new entity, as well as hypermarkets such as Carrefour, Auchan, or Leclerc. In the Saint Genis Pouilly area, the main competitors are Swiss brands: Interdiscount, Fust, and Media Markt.</w:t>
      </w:r>
    </w:p>
    <w:p>
      <w:r>
        <w:t>59. As a result, the market share of the new entity remains limited across all areas. A wide diversity is preserved with the presence of specialists such as Darty, Boulanger, or Saturn and large food retailers. The operation is therefore not likely to raise competition issues in the relevant areas in the retail distribution markets for household appliances.</w:t>
      </w:r>
    </w:p>
    <w:p>
      <w:r>
        <w:t>3. THE MARKET FOR DECORATION AND BAZAAR PRODUCTS</w:t>
      </w:r>
    </w:p>
    <w:p>
      <w:r>
        <w:t>60. The notifying party was unable to provide the market shares of the acquirer or the target at the local level in the market for decoration and bazaar products. At the national level, Conforama has a market share in value of approximately [0-5] % while Titouan represents less than [0-5] %. In any case, this activity is marginal for the parties, including in the areas affected by the operation. Under these conditions, the operation is not likely to raise competition issues in the relevant local markets.</w:t>
      </w:r>
    </w:p>
    <w:p>
      <w:r>
        <w:t>DECIDES</w:t>
      </w:r>
    </w:p>
    <w:p>
      <w:r>
        <w:t>Sole Article: The operation notified under number 11-0060 is authorized.</w:t>
      </w:r>
    </w:p>
    <w:p>
      <w: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