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https://www.autoritedelaconcurrence.fr/fr/decision-de-controle-des-concentrations/relative-lacquisition-du-groupe-unither-par-la-societe</w:t>
      </w:r>
    </w:p>
    <w:p>
      <w:r>
        <w:t>Pages translated : 2</w:t>
      </w:r>
    </w:p>
    <w:p/>
    <w:p>
      <w:r>
        <w:rPr>
          <w:b/>
        </w:rPr>
        <w:t>[Pages 1–2]</w:t>
      </w:r>
    </w:p>
    <w:p>
      <w:r>
        <w:t xml:space="preserve">FRENCH REPUBLIC  </w:t>
        <w:br/>
        <w:t xml:space="preserve">Decision No. 11-DCC-161 of November 25, 2011  </w:t>
        <w:br/>
        <w:t xml:space="preserve">regarding the acquisition of Groupe Unither by Barclays Private Equity France SAS  </w:t>
        <w:br/>
        <w:t>The Competition Authority,</w:t>
      </w:r>
    </w:p>
    <w:p>
      <w:r>
        <w:t>Having regard to the complete notification file submitted to the mergers department on October 21, 2011, concerning the acquisition of exclusive control of Groupe Unither by the investment funds Barclays Private Equity III FCPR A and Barclays Private Equity FCPR C 2011, managed by Barclays Private Equity France SAS;</w:t>
      </w:r>
    </w:p>
    <w:p>
      <w:r>
        <w:t>Having regard to Book IV of the Commercial Code relating to the freedom of prices and competition, and in particular its Articles L. 430-1 to L. 430-7;</w:t>
      </w:r>
    </w:p>
    <w:p>
      <w:r>
        <w:t xml:space="preserve">Adopts the following decision:  </w:t>
        <w:br/>
        <w:t xml:space="preserve">1. Groupe Unither is active in the pharmaceutical sector. It manufactures dosage forms for pharmaceutical laboratories and generic manufacturers. The operation consists of the acquisition of exclusive control of Groupe Unither by the investment funds Barclays Private Equity III FCPR A and Barclays Private Equity FCPR C 2011, managed by Barclays Private Equity France SAS. It constitutes a concentration operation within the meaning of Article L. 430-1 of the Commercial Code. Given the turnover achieved by the companies concerned, the operation does not have a community dimension. However, the control thresholds related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11-0192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