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https://www.autoritedelaconcurrence.fr/fr/decision-de-controle-des-concentrations/relative-lacquisition-dun-fonds-de-commerce-de-distribution</w:t>
      </w:r>
    </w:p>
    <w:p>
      <w:r>
        <w:t>Pages translated : 2</w:t>
      </w:r>
    </w:p>
    <w:p/>
    <w:p>
      <w:r>
        <w:rPr>
          <w:b/>
        </w:rPr>
        <w:t>[Pages 1–2]</w:t>
      </w:r>
    </w:p>
    <w:p>
      <w:r>
        <w:t xml:space="preserve">FRENCH REPUBLIC  </w:t>
        <w:br/>
        <w:t xml:space="preserve">Decision No. 15-DCC-75 of June 19, 2015  </w:t>
        <w:br/>
        <w:t>regarding the acquisition of an automobile distribution business from the company Citroën Nancy by the Car Avenue group</w:t>
      </w:r>
    </w:p>
    <w:p>
      <w:r>
        <w:t>The Competition Authority,</w:t>
      </w:r>
    </w:p>
    <w:p>
      <w:r>
        <w:t>Having regard to the complete notification file submitted to the mergers department on June 1, 2015, concerning the acquisition of an automobile distribution business from the company Citroën Nancy by the Car Avenue group, formalized by a transfer protocol dated April 1, 2015;</w:t>
      </w:r>
    </w:p>
    <w:p>
      <w:r>
        <w:t>Having regard to Book IV of the Commercial Code relating to the freedom of prices and competition, and in particular its Articles L. 430-1 to L. 430-7;</w:t>
      </w:r>
    </w:p>
    <w:p>
      <w:r>
        <w:t>Adopts the following decision:</w:t>
      </w:r>
    </w:p>
    <w:p>
      <w:r>
        <w:t>1. The notified operation consists of the acquisition of an automobile distribution business of the Citroën brand located in Meurthe-et-Moselle (54) by the Car Avenue group, which is itself active in automobile distribution through the operation of dealerships of various brands in several departments.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15-087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