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https://www.autoritedelaconcurrence.fr/fr/decision-de-controle-des-concentrations/relative-lacquisition-dun-fonds-de-commerce-dela-societe</w:t>
      </w:r>
    </w:p>
    <w:p>
      <w:r>
        <w:t>Pages translated : 3</w:t>
      </w:r>
    </w:p>
    <w:p/>
    <w:p>
      <w:r>
        <w:rPr>
          <w:b/>
        </w:rPr>
        <w:t>[Pages 1–3]</w:t>
      </w:r>
    </w:p>
    <w:p>
      <w:r>
        <w:t xml:space="preserve">FRENCH REPUBLIC  </w:t>
        <w:br/>
        <w:t xml:space="preserve">Decision No. 09-DCC-88 of December 23, 2009  </w:t>
        <w:br/>
        <w:t xml:space="preserve">regarding the acquisition of a business of the company Horizon  </w:t>
        <w:br/>
        <w:t>by the company By My Car Group</w:t>
      </w:r>
    </w:p>
    <w:p>
      <w:r>
        <w:t xml:space="preserve">The Competition Authority,  </w:t>
        <w:br/>
        <w:t xml:space="preserve">Having regard to the notification file submitted in full to the mergers service on November 20, 2009, regarding the acquisition by the company By My Car of a business of the company Horizon, formalized by a transfer protocol dated April 7, 2009;  </w:t>
        <w:br/>
        <w:t xml:space="preserve">Having regard to Book IV of the Commercial Code relating to the freedom of prices and competition, and in particular its Articles L. 430-1 to L. 430-7;  </w:t>
        <w:br/>
        <w:t>Adopts the following decision:</w:t>
      </w:r>
    </w:p>
    <w:p>
      <w:r>
        <w:t xml:space="preserve">I. The concerned companies and the operation  </w:t>
        <w:br/>
        <w:t xml:space="preserve">1. The company By My Car Group SAS1, a simplified joint-stock company with variable capital, is the holding company of the subsidiaries2 in which Mr. Jean-Louis Mosca holds shares. It notably holds the company By My Car 75. Mr. Jean-Louis Mosca also holds joint control of the GDS Finances Group and the Gerbier-Mosca Group with Mr. David Gerbier. He also holds, in joint control with Messrs. Jérôme and David Gerbier, control of the company SADA Patrimoine. The companies controlled (jointly or exclusively) by Mr. Jean-Louis Mosca are engaged in the distribution of automobiles of the brands Fiat, Alfa, Lancia, Opel, VW Audi, Skoda, Chevrolet, Peugeot, and Citroën in the departments of Ain, Côte-d’Or, Isère, Savoie, Haute-Savoie, and Vaucluse. Mr. Jean-Louis Mosca achieved in 2008, the last closed fiscal year, a worldwide turnover excluding taxes of 141.6 million euros, exclusively in France.  </w:t>
        <w:br/>
        <w:t xml:space="preserve">2. The company Horizon, a simplified joint-stock company, notably operates a BMW and MINI dealership business in the Val-de-Marne department. The transfer protocol signed by the parties on April 7, 2009, committed the company Horizon to transfer this business to the company By My Car Group no later than February 1, 2010. The aforementioned business achieved in 2008, the last closed fiscal year, a worldwide turnover excluding taxes of 15.1 million euros, exclusively in France.  </w:t>
        <w:br/>
        <w:t>3. As it results in the acquisition of a business by the company By My Car Group, the notified operation is a concentration operation within the meaning of Article L. 430-1 of the Commercial Code. Given the turnovers of the companies involved, it does not have a Community dimension. However, the control thresholds applicable to retail trade mentioned in point II of Article L. 430-2 of the Commercial Code are exceeded. This operation is therefore subject to the provisions of Articles L. 430-3 and following of the Commercial Code relating to economic concentration.</w:t>
      </w:r>
    </w:p>
    <w:p>
      <w:r>
        <w:t xml:space="preserve">II. Definition of relevant markets  </w:t>
        <w:br/>
        <w:t xml:space="preserve">A. DEFINITION OF MARKETS IN TERMS OF PRODUCTS AND SERVICES  </w:t>
        <w:br/>
        <w:t xml:space="preserve">4. In the automotive distribution sector, the decision-making practice distinguishes:  </w:t>
        <w:br/>
        <w:t xml:space="preserve">- the distribution of new passenger vehicles intended for individual customers;  </w:t>
        <w:br/>
        <w:t xml:space="preserve">- the distribution of new passenger vehicles intended for professional customers;  </w:t>
        <w:br/>
        <w:t xml:space="preserve">- the distribution of commercial vehicles (notably light utility vehicles);  </w:t>
        <w:br/>
        <w:t xml:space="preserve">- the distribution of used vehicles;  </w:t>
        <w:br/>
        <w:t xml:space="preserve">- the distribution of spare parts and automotive accessories;  </w:t>
        <w:br/>
        <w:t xml:space="preserve">- the maintenance and repair services for vehicles;  </w:t>
        <w:br/>
        <w:t xml:space="preserve">- rental services.  </w:t>
        <w:br/>
        <w:t xml:space="preserve">5. There is no need to challenge these definitions during the examination of the present operation.  </w:t>
        <w:br/>
        <w:t xml:space="preserve">6. In the market for the distribution of commercial vehicles, only the acquirer is present, as the target is not active in this market. In the market for the distribution of new passenger vehicles intended for professional customers, the position of the parties is very limited. This market will therefore not be subject to specific analysis. Furthermore, the parties to the operation are not active in the rental services market. Consequently, the competitive analysis will focus on the following markets:  </w:t>
        <w:br/>
        <w:t xml:space="preserve">- the distribution of new passenger vehicles intended for individual customers;  </w:t>
        <w:br/>
        <w:t xml:space="preserve">- the distribution of used vehicles;  </w:t>
        <w:br/>
        <w:t xml:space="preserve">- the distribution of spare parts and automotive accessories;  </w:t>
        <w:br/>
        <w:t>- the maintenance and repair services for vehicles.</w:t>
      </w:r>
    </w:p>
    <w:p>
      <w:r>
        <w:t xml:space="preserve">B. GEOGRAPHICAL DEFINITION OF MARKETS  </w:t>
        <w:br/>
        <w:t xml:space="preserve">7. Regarding the markets for the retail sale of new or used vehicles, the distribution of spare parts and automotive accessories, and the maintenance and repair services for vehicles, the decision-making practice adopts a local geographical dimension3. In fact, the analysis of the markets for the sale of new vehicles is generally conducted at the departmental level.  </w:t>
        <w:br/>
        <w:t>8. In this case, the activities of the acquirer and those of the target do not overlap geographically. However, the notifying party has also planned to carry out, concurrently with the present operation, the acquisition of two businesses holding BMW and MINI brand dealerships, also located in the Paris region. This operation is distinct from the present operation. However, it should be taken into account for the competitive analysis.</w:t>
      </w:r>
    </w:p>
    <w:p>
      <w:r>
        <w:t xml:space="preserve">III. Competitive analysis  </w:t>
        <w:br/>
        <w:t xml:space="preserve">9. Given the present operation and the planned acquisition of two businesses from Messrs. Pellier, the new entity will hold less than 1% of the markets for the distribution of new vehicles in each of the departments of Val-de-Marne, Seine-Saint-Denis, Val-d’Oise, and Paris. In other markets, the position of the new entity will be even weaker.  </w:t>
        <w:br/>
        <w:t>10. It follows from the preceding elements that the operation is not likely to harm competition in the relevant markets.</w:t>
      </w:r>
    </w:p>
    <w:p>
      <w:r>
        <w:t xml:space="preserve">DECIDES  </w:t>
        <w:br/>
        <w:t xml:space="preserve">Single Article: The operation notified under number 09-0126 is authorized.  </w:t>
        <w:br/>
        <w:t xml:space="preserve">The Vice-President,  </w:t>
        <w:br/>
        <w:t xml:space="preserve">Françoise Aubert  </w:t>
        <w:br/>
        <w:t xml:space="preserve">Competition Authority  </w:t>
        <w:br/>
        <w:t>3 See in particular the decisions of the Competition Authority No. 09-DCC-05 of May 6, 2009, regarding the acquisition by the company Commerciale Citroën of the assets of the company Alteam Lisieux, No. 09-DCC-01 of April 8, 2009, regarding the acquisition of control of the company Pellier Metz S.A.S. by the group Bailly S.A.S., or No. 09-DCC-25 regarding the acquisition of control of the company Automobiles Saint Loises by Mary Automobiles.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