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https://www.autoritedelaconcurrence.fr/fr/decision-de-controle-des-concentrations/relative-lacquisition-par-axel-springer-ag-du-controle</w:t>
      </w:r>
    </w:p>
    <w:p>
      <w:r>
        <w:t>Pages translated : 9</w:t>
      </w:r>
    </w:p>
    <w:p/>
    <w:p>
      <w:r>
        <w:rPr>
          <w:b/>
        </w:rPr>
        <w:t>[Pages 1–3]</w:t>
      </w:r>
    </w:p>
    <w:p>
      <w:r>
        <w:t xml:space="preserve">FRENCH REPUBLIC  </w:t>
        <w:br/>
        <w:t xml:space="preserve">Decision No. 10-DCC-152 of November 3, 2010  </w:t>
        <w:br/>
        <w:t>regarding the acquisition by Axel Springer AG of exclusive control of the company SeLoger.com, through a public takeover bid</w:t>
      </w:r>
    </w:p>
    <w:p>
      <w:r>
        <w:t xml:space="preserve">The Competition Authority,  </w:t>
        <w:br/>
        <w:t xml:space="preserve">Having regard to the notification file submitted in full to the merger service on September 28, 2010, regarding the acquisition by Axel Springer AG, through its wholly-owned subsidiary AS Online Beteiligungs GmbH, of exclusive control of the company SeLoger.com, through a public takeover bid approved by the management board of Axel Springer on September 5, 2010, and formalized by an information note filed with the Financial Markets Authority on September 28, 2010;  </w:t>
        <w:br/>
        <w:t xml:space="preserve">Having regard to Book IV of the Commercial Code relating to price and competition freedom,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SeLoger.com (SeLoger) is a public limited company with a management board and supervisory board under French law whose shares are admitted to trading on NYSE Euronext. SeLoger.com offers a range of products and services to real estate agents and real estate professionals and has primarily specialized in the publication of real estate classified ads, mainly on the Internet and, to a lesser extent, in specialized print publications. SeLoger.com is also active in the sale of advertising space on websites and in its press titles. SeLoger also offers services to real estate professionals for the creation, hosting, and maintenance of their websites. Finally, SeLoger markets software intended for real estate professionals for managing real estate transactions.  </w:t>
        <w:br/>
        <w:t xml:space="preserve">2. AS Online Beteiligungs GmbH is a wholly-owned subsidiary of Axel Springer AG, which is the parent company of the Axel Springer group (Axel Springer). The majority (51.5%) of the shares of Axel Springer AG is held by Axel Springer Gesellschaft für Publizistik GmbH &amp; Co., a holding company owned by members of the Springer family. The Axel Springer group is active in the publication of newspapers, magazines, and websites in 36 countries and also holds a minority stake in television and radio channels. In France, Axel Springer is active as a publisher of press titles and websites. Axel Springer is also active in the advertising sector, including the sale of advertising space on its websites and in its press publications. Furthermore, Axel Springer sells advertising space in its foreign publications as well as in those of third parties to French advertisers through its advertising agency Axel Springer Media France SARL. Axel Springer also develops, through its subsidiary auFéminin.com S.A., advertising distribution software (SmartAdServer) and has activities in online advertising services and technologies (particularly affiliate marketing services) through its subsidiary Zanox SAS.  </w:t>
        <w:br/>
        <w:t xml:space="preserve">3. On September 15, 2010, Axel Springer acquired, through its subsidiary AS Online Beteiligungs GmbH, 2,058,116 shares of SeLoger.com representing approximately 12.36% of the share capital and voting rights of SeLoger.com, at a price of 34 euros per share. These acquisitions do not constitute a concentration operation as they do not allow Axel Springer to acquire control of SeLoger.com. Following these acquisitions, AS Online Beteiligungs GmbH submitted a cash public takeover bid for all shares of SeLoger.com still in circulation at the price of 34 euros.  </w:t>
        <w:br/>
        <w:t xml:space="preserve">4. The public takeover bid for SeLoger.com by AS Online Beteiligungs GmbH is analyzed as a concentration within the meaning of Article L. 430-1 of the Commercial Code in that it aims to enable Axel Springer to acquire exclusive control of SeLoger.com.  </w:t>
        <w:br/>
        <w:t>5. The concerned companies together generate a total worldwide turnover of over 150 million euros (Axel Springer group: 2.6 billion euros for the fiscal year ending December 31, 2009; SeLoger: 73.1 million euros for the same year). Each generates in France a turnover exceeding 50 million euros (Axel Springer group: […] million euros for the fiscal year ending December 31, 2009; SeLoger: 73.1 million euros for the same year). Given these turnover figures,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6. The Axel Springer group and SeLoger.com are simultaneously active in the publication of press titles, the sale to advertisers of advertising space in their press titles, and the sale of advertising on their websites.  </w:t>
        <w:br/>
        <w:t xml:space="preserve">A. THE PRESS  </w:t>
        <w:br/>
        <w:t xml:space="preserve">1. PRODUCT MARKET  </w:t>
        <w:br/>
        <w:t xml:space="preserve">7. In the print media sector, competition authorities distinguish between national press, regional press, free press, and specialized press.  </w:t>
        <w:br/>
        <w:t xml:space="preserve">8. Within specialized press, general public specialized press is distinguished from technical and professional specialized press. Regarding general public specialized press, it is necessary to distinguish between that with a national focus and that with a local focus. Furthermore, within these markets, different segments have been identified based on editorial content, presentation, periodicity, commercial policy, and reader characteristics. Thus, political and general news magazines, television weeklies, women's newspapers, economic and financial magazines, general public specialized publications, and professional specialized publications are distinguished.  </w:t>
        <w:br/>
        <w:t xml:space="preserve">9. For each of these categories of press titles, competition authorities identify three product markets: those of readership, commercial advertising, and classified ads.  </w:t>
        <w:br/>
        <w:t xml:space="preserve">10. In the magazine press advertising sector, competition authorities have had the opportunity to adopt three different approaches to delineate the relevant markets:  </w:t>
        <w:br/>
        <w:t xml:space="preserve">(i) a first method based on the definition of readership markets. Indeed, it can be considered that the advertising space market can be delineated in a manner similar to the readership market, particularly to the extent that magazines dealing with the same theme address readers with similar socio-professional characteristics and thus allow advertisers to reach the same advertising targets;  </w:t>
        <w:br/>
        <w:t xml:space="preserve">(ii) a second method consisting of assessing the proportion of common client brands among magazines likely to belong to the same advertising space sales market. The Competition Council has thus estimated that two titles can be considered to be in competition in the same market as long as  </w:t>
        <w:br/>
        <w:t xml:space="preserve">5 See in particular the letters from the Minister of Economy C2005-18 of October 28, 2005, SIPA/Pôle Ouest of Socpresse and SEMIF, C2007-21 of April 11, 2007, Banque fédérative du Crédit Mutuel / Républicain Lorrain, C2007-27 of August 28, 2007, Est-Républicain / BFCM / Socpresse, C2007-127 of December 7, 2007, GHM / Pôle sud de Lagardère, the opinion of the Competition Council 07-A-09 of August 2, 2007, regarding the joint takeover of the company Delaroche by the company L’Est Républicain and the Banque Fédérative du Crédit Mutuel, as well as the decision of the Competition Authority 09-DCC-72 of December 14, 2009, EBRA/Banque fédérative du Crédit Mutuel.  </w:t>
        <w:br/>
        <w:t xml:space="preserve">6 See in particular the letters from the Minister of Economy C2003-101 of June 20, 2003, Express-Expansion / Roularta / Côté Sud Investissement and C2007-123 of September 19, 2007 APAX PARTNERS / GISI.  </w:t>
        <w:br/>
        <w:t>7 See in particular the letters from the Minister of Economy C2002-70 of October 14, 2002, Le Monde / La Vie Catholique, C2003-173 of April 17, 2003 The Future Network / HDP and C2007-123 mentioned above, the opinion of the Competition Council 93-A-13 of July 6, 1993, regarding the acquisition of a stake by the general western company in the capital of the operating company of the weekly Le Point and the decisions of the European Commission COMP/M.3420 of June 16, 2004, GIMD / Socpresse and IV/M.665 of November 29, 1995, CEP / Groupe de la Cité.</w:t>
      </w:r>
    </w:p>
    <w:p>
      <w:r>
        <w:rPr>
          <w:b/>
        </w:rPr>
        <w:t>[Pages 4–6]</w:t>
      </w:r>
    </w:p>
    <w:p>
      <w:r>
        <w:t>that for each of them, the proportion of its client brands that are also clients of the other magazine exceeds 25%. However, the European Commission specified that this method could lead to considering as substitutable titles that, in reality, are perceived as complementary or even completely different by advertisers. It concluded that this method should be considered as a complement to the first method: it would allow for refinement by taking into account the advertisers' perspective on the substitutability of the magazines among themselves;</w:t>
        <w:br/>
        <w:t>(iii) a third method, alternative or complementary, consisting of segmenting the market based on the advertisers' sector of activity.</w:t>
        <w:br/>
        <w:t>11. There is no reason to challenge these delineations on the occasion of the examination of the present operation.</w:t>
      </w:r>
    </w:p>
    <w:p>
      <w:r>
        <w:t>2. GEOGRAPHICAL MARKET</w:t>
        <w:br/>
        <w:t>12. According to the decision-making practice of national and community competition authorities, the geographical dimension of media and advertising markets corresponds to their area of distribution.</w:t>
      </w:r>
    </w:p>
    <w:p>
      <w:r>
        <w:t>B. INTERNET</w:t>
        <w:br/>
        <w:t>13. Axel Springer and SeLoger.com both have activities in the field of advertising and classified ads on the Internet, where the main players are, on the one hand, all web publishers who sell advertising space on their own pages in order to generate revenue, as well as publishers of specialized ad sites, and, on the other hand, advertisers who purchase such spaces to place their advertisements or ads targeting the audience of Internet users.</w:t>
        <w:br/>
        <w:t>14. In its previous decisions, both national and community competition authorities have made a distinction between online advertising and classified ads and offline advertising and classified ads. Furthermore, the same distinction is made as in the press between advertising, on the one hand, and classified ads, on the other hand.</w:t>
        <w:br/>
        <w:t>15. Moreover, the Axel Springer group is present in the market for intermediation for the sale of online advertising space and in the market for the provision of services and technologies for ad broadcasting, markets that will be taken into account in the analysis of vertical effects.</w:t>
      </w:r>
    </w:p>
    <w:p>
      <w:r>
        <w:t>1. CLASSIFIED ADS</w:t>
        <w:br/>
        <w:t>16. Classified ads are a form of advertising found offline (mainly in newspapers and periodicals) but also online on the Internet. They are also called classified advertisements because they are categorized by section: automotive, employment, household appliances, etc. Offline classified ads are usually grouped in a distinct section of the newspaper/magazine and generally linked to the geographical area of distribution of the given newspaper/magazine. Online classified advertising allows for specific geographical targeting thanks to the geographical specifications that the Internet user can enter on the relevant website.</w:t>
        <w:br/>
        <w:t>17. Previous decision-making practice has already segmented by type of ads, distinguishing automotive classified ads, those related to boats, real estate, and employment. Regarding the geographical delineation of these markets, the minister indicated that the market for the sale of classified ads on the Internet was national, due to the specific characteristics of this medium. He nevertheless indicated that the local dimension induced by the role of ad sites as an interface in the sale of goods from individual to individual and from professional to individual should be taken into account in the analysis.</w:t>
        <w:br/>
        <w:t>18. There is no need to conclude on the precise delineation of these markets in the present case, as the competitive analysis remains unchanged regardless of the solution adopted.</w:t>
      </w:r>
    </w:p>
    <w:p>
      <w:r>
        <w:t>2. ONLINE ADVERTISING</w:t>
        <w:br/>
        <w:t>19. Ads related to searches appear alongside the results of queries made by Internet users on search engines and are selected based on keywords chosen by the user. Non-search-related ads can appear on any page and are either contextual, meaning selected based on the content of the page on which they appear, or non-contextual.</w:t>
        <w:br/>
        <w:t>20. The European Commission has not ruled on the existence of sub-markets in online advertising. On the question of the geographical delineation of these markets, it estimated that a subdivision of the online advertising space market could be made based on national or linguistic borders within the EEA and specified that the same conclusion would apply to hypothetical narrower markets corresponding to search-related ads and those that are not.</w:t>
        <w:br/>
        <w:t>21. The Competition Authority has, for its part, not excluded, at the stage of examining interim measures, that search-related online advertising could constitute a relevant market within the broader sector of online advertising and noted that the geographical dimension of this market would a priori be national, due to linguistic and cultural barriers.</w:t>
      </w:r>
    </w:p>
    <w:p>
      <w:r>
        <w:t>22. In any event, it is not necessary in this case to rule on the exact delineation of these markets, given that, regardless of the market definition considered, the operation would not raise any competition concerns.</w:t>
      </w:r>
    </w:p>
    <w:p>
      <w:r>
        <w:t>3. INTERMEDIATION FOR THE SALE OF ONLINE ADVERTISING SPACE</w:t>
        <w:br/>
        <w:t>23. The Commission has considered that a distinct market could be defined for intermediation in online advertising, given the fact that there is no substitute for the service provided by intermediaries for the sale of inventory from smaller publishers and for the sale of part of the residual inventory of larger publishers who also use the direct sales channel. Furthermore, it left open the question of the existence of an additional subdivision of the intermediation market in online advertising between search-related ads and those that are not. It also estimated that the geographical scope of the intermediation market in online advertising extends at least to the EEA.</w:t>
        <w:br/>
        <w:t>24. There is no reason to challenge or specify these delineations on the occasion of the examination of the present operation, as it does not raise any competition concerns regardless of the segmentation adopted.</w:t>
      </w:r>
    </w:p>
    <w:p>
      <w:r>
        <w:t>4. PROVISION OF ONLINE ADVERTISING BROADCASTING SERVICES</w:t>
        <w:br/>
        <w:t>25. The Commission considered in its decision COMP/M.4731, Google/Double Click, that there exists a distinct market for the provision of ad broadcasting services intended for advertising displays, encompassing at least the EEA, and that this market could be further subdivided based on whether the services provided benefit advertisers or publishers.</w:t>
        <w:br/>
        <w:t>26. There is no reason to challenge these delineations on the occasion of the examination of the present operation.</w:t>
      </w:r>
    </w:p>
    <w:p>
      <w:r>
        <w:t>III. Competitive Analysis</w:t>
        <w:br/>
        <w:t>A. HORIZONTAL EFFECTS</w:t>
        <w:br/>
        <w:t>1. PUBLICATIONS OF PRESS TITLES</w:t>
        <w:br/>
        <w:t>27. SeLoger.com publishes two press titles specialized in real estate classified ads: Belles Demeures and Immoflash / Journal de l’Agence. Belles Demeures is a monthly publication with national distribution sold to readers and falls into the category of "publication."</w:t>
      </w:r>
    </w:p>
    <w:p>
      <w:r>
        <w:rPr>
          <w:b/>
        </w:rPr>
        <w:t>[Pages 7–9]</w:t>
      </w:r>
    </w:p>
    <w:p>
      <w:r>
        <w:t>specialized general public." The title Immoflash / Journal de l’Agence is, for its part, a publication marketed to real estate agents who distribute it or make it available for free to their clients. Immoflash / Journal de l’Agence thus falls under the category of free real estate advertising press.</w:t>
      </w:r>
    </w:p>
    <w:p>
      <w:r>
        <w:t>28. For its part, Axel Springer publishes automotive magazines (Auto Plus, Auto Plus Occasions, L’Auto-Journal, L’Auto-Journal 4x4, and Sport Auto), a television weekly (Télé magazine), and women's and lifestyle magazines (Vie Pratique Féminin, Vie Pratique Gourmand, Vie Pratique Santé, and Vie Pratique Jeux). Axel Springer does not publish any titles in the free real estate advertising press.</w:t>
      </w:r>
    </w:p>
    <w:p>
      <w:r>
        <w:t>29. These publications do not target the same readerships. Indeed, while Axel Springer publishes women's magazines, lifestyle programs, and automotive magazines, SeLoger.com publishes only real estate press titles. The respective themes of Axel Springer's and SeLoger's publications and their editorial content are different and do not overlap. Consequently, the proposed operation is not likely to harm competition in the markets for the publication of press titles.</w:t>
      </w:r>
    </w:p>
    <w:p>
      <w:r>
        <w:t>2. SALES OF ADVERTISING SPACE IN THE PRESS</w:t>
      </w:r>
    </w:p>
    <w:p>
      <w:r>
        <w:t>30. Both parties are active in the sale of advertising space in specialized general public press in France.</w:t>
      </w:r>
    </w:p>
    <w:p>
      <w:r>
        <w:t>31. Nevertheless, the advertising activities of the parties related to the press do not operate in the same markets. Indeed, it follows from the previous analysis that the respective publications of the parties do not belong to the same readership markets. Furthermore, the respective magazines of the parties have different advertisers, with, according to the notifying party, little to no overlap.</w:t>
      </w:r>
    </w:p>
    <w:p>
      <w:r>
        <w:t>32. Therefore, the proposed operation is not likely to harm competition in the markets for the sale of advertising space in the press.</w:t>
      </w:r>
    </w:p>
    <w:p>
      <w:r>
        <w:t>3. THE SALE OF CLASSIFIED ADS ON THE INTERNET</w:t>
      </w:r>
    </w:p>
    <w:p>
      <w:r>
        <w:t>33. The main activity of the SeLoger.com group is the publication of real estate classified ads on the Internet, through the group's websites. The clientele consists exclusively of professionals in the real estate sector, namely real estate agents and property developers, who pay a subscription in exchange for the ability to post their real estate classified ads on these websites.</w:t>
      </w:r>
    </w:p>
    <w:p>
      <w:r>
        <w:t>34. In France, Axel Springer is also active in the online publication of classified ads, but these classified ads are not related to real estate. Axel Springer publishes automotive classified ads on its website autoplus.fr, job ads on its website stepstone.fr, and a limited number of free classified ads on its website auFeminin.com in the maternity, beauty, and relaxation segments.</w:t>
      </w:r>
    </w:p>
    <w:p>
      <w:r>
        <w:t>35. Given that Axel Springer's activity and clientele in France are distinct from those of SeLoger.com, the proposed operation is not likely to harm competition in the markets for classified ads.</w:t>
      </w:r>
    </w:p>
    <w:p>
      <w:r>
        <w:t>4. THE SALE OF ONLINE ADVERTISING</w:t>
      </w:r>
    </w:p>
    <w:p>
      <w:r>
        <w:t>36. The activities of the parties overlap only with respect to direct sales of online advertising space not related to searches.</w:t>
      </w:r>
    </w:p>
    <w:p>
      <w:r>
        <w:t>37. According to Zenith Optimedia, total Internet advertising spending (excluding online classified ads) by advertisers in France amounted to nearly […] billion euros in 2009. Based on this, the parties estimate their combined market shares at [0-5]% ([0-5]% for Axel Springer and [0-5]% for SeLoger.com).</w:t>
      </w:r>
    </w:p>
    <w:p>
      <w:r>
        <w:t>38. Among the total Internet advertising expenditures, Zenith Optimedia estimates that non-search-related advertising accounts for approximately […] million euros. Based on this estimate, the market share of the parties in the segment of non-search-related advertising in France can be assessed at approximately [0-5]% ([0-5]% for Axel Springer and [0-5]% for SeLoger.com). In any event, the online advertising space offered by both parties targets different advertisers: related to the real estate sector for SeLoger.com and for Axel Springer, related to the automotive sector for the site autoplus.fr and to topics aimed at women on the various sites of the au Féminin group.</w:t>
      </w:r>
    </w:p>
    <w:p>
      <w:r>
        <w:t>39. Therefore, the proposed operation is not likely to harm competition in the market for direct online advertising sales or its potential segments.</w:t>
      </w:r>
    </w:p>
    <w:p>
      <w:r>
        <w:t>B. VERTICAL EFFECTS</w:t>
      </w:r>
    </w:p>
    <w:p>
      <w:r>
        <w:t>1. INTERMEDIATION IN ONLINE ADVERTISING</w:t>
      </w:r>
    </w:p>
    <w:p>
      <w:r>
        <w:t>40. Axel Springer is active in the market for intermediation in the sale of online advertising space through its stake in Zanox. Zanox acts primarily as a technical intermediary in the sale of online advertising space, assisting advertisers in identifying, approaching, and selecting the websites on which their ads will appear. Zanox also assists website publishers in monetizing their websites, that is, in selling advertising space on their sites. This activity is vertically related to those of SeLoger.com. Thus, in 2010, Zanox provided intermediation services to SeLoger.com as a seller of advertising space on its sites, generating with this client a revenue of […] euros.</w:t>
      </w:r>
    </w:p>
    <w:p>
      <w:r>
        <w:t>41. The parties estimate that Zanox and its subsidiaries hold a market share in the intermediation market for the provision of online advertising space of around [5-10]% to [5-10]% in the EEA and around [5-10]% to [5-10]% in France. This market is dominated at the EEA level by AdSense (Google), which the parties estimate has a market share of just over [20-30]%.</w:t>
      </w:r>
    </w:p>
    <w:p>
      <w:r>
        <w:t>42. Given Axel Springer's limited market shares in the intermediation market and SeLoger.com's in the online advertising space market, the proposed operation does not pose a vertical competition risk.</w:t>
      </w:r>
    </w:p>
    <w:p>
      <w:r>
        <w:t>2. PROVISION OF SERVICES FOR ONLINE AD SERVING</w:t>
      </w:r>
    </w:p>
    <w:p>
      <w:r>
        <w:t>43. Axel Springer is also active in the market for providing ad serving services. Indeed, Axel Springer owns 100% of SmartAdServer SAS, a company that markets licenses for the SmartAdServer ad serving software to website publishers and media and advertising agencies. As a website publisher, SeLoger.com is a marginal client of SmartAdServer ([…] euros in purchases in 2009).</w:t>
      </w:r>
    </w:p>
    <w:p>
      <w:r>
        <w:t>44. The notifying party estimated that SmartAdServer's European market share in 2009 was between [0-5]% or [0-5]% in the advertiser market, and between [0-5]% and [5-10]% in the publisher market. It specifies that in the advertiser market, SmartAdServer faces competition from more powerful players such as Google/DoubleClick, the market leader (with a market share between 30% and 40% according to the notifying party's estimates) and Quantive/Atlas (Microsoft) (with a market share between 10% and 30% according to the notifying party's estimates).</w:t>
      </w:r>
    </w:p>
    <w:p>
      <w:r>
        <w:t>45. Given SmartAdServer's position in these markets, the proposed operation does not pose a vertical competition risk.</w:t>
      </w:r>
    </w:p>
    <w:p>
      <w:r>
        <w:t>DECIDES</w:t>
      </w:r>
    </w:p>
    <w:p>
      <w:r>
        <w:t>Sole Article: The operation notified under number 10-0159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