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https://www.autoritedelaconcurrence.fr/fr/decision-de-controle-des-concentrations/relative-lacquisition-par-geodis-de-ciblex</w:t>
      </w:r>
    </w:p>
    <w:p>
      <w:r>
        <w:t>Pages translated : 3</w:t>
      </w:r>
    </w:p>
    <w:p/>
    <w:p>
      <w:r>
        <w:rPr>
          <w:b/>
        </w:rPr>
        <w:t>[Pages 1–3]</w:t>
      </w:r>
    </w:p>
    <w:p>
      <w:r>
        <w:t xml:space="preserve">FRENCH REPUBLIC  </w:t>
        <w:br/>
        <w:t xml:space="preserve">Decision No. 10-DCC-26 of March 26, 2010  </w:t>
        <w:br/>
        <w:t>regarding the acquisition by Geodis of Ciblex</w:t>
      </w:r>
    </w:p>
    <w:p>
      <w:r>
        <w:t xml:space="preserve">The Competition Authority,  </w:t>
        <w:br/>
        <w:t xml:space="preserve">Having regard to the notification file submitted in full to the merger service on March 2, 2010, regarding the acquisition by Geodis of all the shares of Ciblex, approved by the Board of Directors of Geodis (November 23, 2009), authorized by the SNCF Corporate Commitments Committee (November 26, 2009) and formalized by a draft share transfer agreement;  </w:t>
        <w:br/>
        <w:t xml:space="preserve">Having regard to Book IV of the Commercial Code relating to the freedom of prices and competition, and in particular Articles L. 430-1 to L. 430-7;  </w:t>
        <w:br/>
        <w:t>Adopts the following decision:</w:t>
      </w:r>
    </w:p>
    <w:p>
      <w:r>
        <w:t xml:space="preserve">I. The concerned companies and the operation  </w:t>
        <w:br/>
        <w:t xml:space="preserve">1. Geodis is a 100% subsidiary of SNCF Participations, which is itself 99.98% owned by SNCF, the parent company of the SNCF group. The SNCF group is primarily active in the passenger rail transport sector as well as in logistics and freight transport. The latter activity is carried out within the company Geodis. The activities of Geodis are grouped around four main divisions: (i) maritime and air transport brokerage (Geodis Wilson), (ii) contractual logistics (Geodis Logistic), (iii) parcel delivery (Geodis Calberson), and (iv) road transport (Geodis BM). Calberson is the parent company of the parcel delivery division. It offers traditional and express parcel delivery services as well as specialized distribution services (high-tech equipment or goods requiring careful handling). In 2008, the SNCF group achieved a worldwide turnover excluding taxes of 25.2 billion euros, of which [&gt;50 million] in France.  </w:t>
        <w:br/>
        <w:t>2. Ciblex is a French company active in the BtoB express parcel delivery market (between professionals). It operates in France, Belgium, Luxembourg, the Netherlands, and the rest of Europe and internationally through approximately 700 partners. The proposed operation consists of the acquisition by Geodis of all the shares of Ciblex. The total worldwide turnover excluding taxes of Ciblex for the fiscal year ending June 30, 2009, amounts to 154 million euros, of which [&gt;50] million in France.</w:t>
      </w:r>
    </w:p>
    <w:p>
      <w:r>
        <w:t>3. In that it results in the exclusive control of Ciblex by Geodis, the notified operation constitutes a concentration within the meaning of Article L. 430-1 of the Commercial Code. Given the turnover of the companies concerned, it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4. Geodis and Ciblex are simultaneously present in France in the parcel delivery markets.  </w:t>
        <w:br/>
        <w:t>5. The parcel delivery activity corresponds to the transportation of parcels (or pallets) of goods weighing less than 3 tons. It is distinguished from traditional transport due to intermediate operations of sorting, grouping, and de-grouping, which consist of consolidating or splitting shipments of goods from multiple senders or to multiple recipients.</w:t>
      </w:r>
    </w:p>
    <w:p>
      <w:r>
        <w:t xml:space="preserve">A. DEFINITION OF THE PRODUCT MARKET  </w:t>
        <w:br/>
        <w:t xml:space="preserve">6. Within the parcel delivery sector, a segmentation is generally made between traditional parcel delivery (delivery time of 24 to 72 hours within the national territory), rapid parcel delivery (pickup before 6 PM for delivery the next day before 12 PM but with non-guaranteed times), and express parcel delivery (pickup before 6 PM for delivery the next day before 12 PM or 9 AM with different levels of guarantee on delivery times, customer tracking options, and ancillary services). Another segmentation is generally made between international parcel delivery and domestic parcel delivery.  </w:t>
        <w:br/>
        <w:t xml:space="preserve">7. Finally, within the express parcel delivery sector, national and Community competition authorities have identified a distinct market for BtoB express parcel delivery.  </w:t>
        <w:br/>
        <w:t xml:space="preserve">8. In this case, the parties are simultaneously present in the markets for domestic BtoB express parcel delivery and international BtoB express parcel delivery.  </w:t>
        <w:br/>
        <w:t>9. In these markets, the parties believe that a finer segmentation can be made between BtoB single-parcel express delivery and BtoB multi-parcel express delivery. This segmentation has already been considered, without being resolved, by national and Community competition authorities. In this case, this question can be left open, insofar as, regardless of the delimitation retained, the conclusions of the competitive analysis will remain unchanged.</w:t>
      </w:r>
    </w:p>
    <w:p>
      <w:r>
        <w:t xml:space="preserve">B. GEOGRAPHICAL DEFINITION OF THE RELEVANT MARKETS  </w:t>
        <w:br/>
        <w:t>10. According to the consistent decision-making practice of both national and Community competition authorities, the geographical market for parcel delivery is of national dimension, a delimitation that does not need to be questioned in the context of this decision.</w:t>
      </w:r>
    </w:p>
    <w:p>
      <w:r>
        <w:t xml:space="preserve">III. Competitive Analysis  </w:t>
        <w:br/>
        <w:t xml:space="preserve">11. In the national market for domestic BtoB express parcel delivery, not subdivided between single-parcel and multi-parcel, the market share of the new entity will be [20-30]% ([10-20]% for Geodis and [0-5]% for the target). In the national market for international BtoB express parcel delivery, not subdivided between single-parcel and multi-parcel, the market share of the new entity will be [10-20]% ([0-5]% for Geodis and [10-20]% for the target). The parties indicate that they will continue to face competition in these markets from players such as Mory and Tatex, as well as Sernam or Exapac.  </w:t>
        <w:br/>
        <w:t>12. In any potential markets segmented between single-parcel and multi-parcel, the operation would not result in any overlap of activities between the parties to the operation, as Ciblex specializes in BtoB single-parcel express delivery while Geodis only has a BtoB multi-parcel express delivery activity.</w:t>
      </w:r>
    </w:p>
    <w:p>
      <w:r>
        <w:t xml:space="preserve">***  </w:t>
        <w:br/>
        <w:t>13. Given the above elements, the present operation is not likely to harm competition in the BtoB express parcel delivery markets.</w:t>
      </w:r>
    </w:p>
    <w:p>
      <w:r>
        <w:t xml:space="preserve">DECIDES  </w:t>
        <w:br/>
        <w:t xml:space="preserve">Sole Article: The operation notified under number 10-0017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