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https://www.autoritedelaconcurrence.fr/fr/decision-de-controle-des-concentrations/relative-lacquisition-par-la-societe-3-suisses</w:t>
      </w:r>
    </w:p>
    <w:p>
      <w:r>
        <w:t>Pages translated : 10</w:t>
      </w:r>
    </w:p>
    <w:p/>
    <w:p>
      <w:r>
        <w:rPr>
          <w:b/>
        </w:rPr>
        <w:t>[Pages 1–3]</w:t>
      </w:r>
    </w:p>
    <w:p>
      <w:r>
        <w:t>FRENCH TEXT:</w:t>
        <w:br/>
        <w:t>RÉPUBLIQUE FRANÇAISE</w:t>
        <w:br/>
        <w:t>Décision n° 10-DCC-42 du 25 mai 2010</w:t>
        <w:br/>
        <w:t>relative à l’acquisition par la société 3 Suisses International SA de</w:t>
        <w:br/>
        <w:t>certains actifs de la société La Source</w:t>
        <w:br/>
        <w:t>L’Autorité de la concurrence,</w:t>
        <w:br/>
        <w:t>Vu le dossier de notification adressé au service des concentrations le 5 mars 2010, déclaré</w:t>
        <w:br/>
        <w:t>complet le 16 avril 2010, relatif à l’acquisition par la société 3 Suisses International SA de</w:t>
        <w:br/>
        <w:t>certains actifs de la société La Source;</w:t>
        <w:br/>
        <w:t>Vu le livre IV du code de commerce relatif à la liberté des prix et de la concurrence, et</w:t>
        <w:br/>
        <w:t>notamment ses articles L. 430-1 à L. 430-7 ;</w:t>
        <w:br/>
        <w:t>Vu les éléments complémentaires transmis par les parties au cours de l’instruction ;</w:t>
        <w:br/>
        <w:t>Adopte la décision suivante :</w:t>
        <w:br/>
        <w:t>I. Les entreprises concernées et l’opération</w:t>
        <w:br/>
        <w:t>A. LES ENTREPRISES CONCERNÉES</w:t>
        <w:br/>
        <w:t>1. La société 3 Suisses International SA (ci-après « 3SI ») est la holding de tête du groupe 3</w:t>
        <w:br/>
        <w:t>Suisses. Implanté dans une quinzaine de pays, le groupe 3 Suisses est principalement actif</w:t>
        <w:br/>
        <w:t>dans le secteur de la vente à distance (« VAD ») de produits non alimentaires, aussi bien sur</w:t>
        <w:br/>
        <w:t>Internet que par catalogue, à destination des particuliers. Le capital de la société 3SI est</w:t>
        <w:br/>
        <w:t>détenu à 51 % par Otto Europe, filiale du groupe allemand Otto, et à 44 % par la société</w:t>
        <w:br/>
        <w:t>FIPAR du groupe Mulliez, le solde du capital étant détenu par les sociétés Soparsuis et FCPE,</w:t>
        <w:br/>
        <w:t>toutes deux contrôlées par des membres du personnel de 3SI.</w:t>
        <w:br/>
        <w:t>2. A la lecture du pacte conclu par Otto et FIPAR [Confidentiel].</w:t>
        <w:br/>
        <w:t>3. Il découle de ce qui précède que le groupe Otto détient seul le contrôle de la société 3SI.</w:t>
        <w:br/>
        <w:t>4. Le groupe Otto a réalisé en 2009, dernier exercice clos, un chiffre d’affaires de 10,109</w:t>
        <w:br/>
        <w:t>milliards d’euros, dont [&gt;150] millions d’euros dans l’Union européenne et [&gt;50] millions</w:t>
        <w:br/>
        <w:t>d’euros en France.</w:t>
      </w:r>
    </w:p>
    <w:p>
      <w:r>
        <w:t>5. La société La Source, autrefois dénommée Quelle1, a pour principale activité la vente à</w:t>
        <w:br/>
        <w:t>distance de produits non alimentaires à destination des particuliers, que ce soit par catalogue</w:t>
        <w:br/>
        <w:t>ou sur Internet. Antérieurement à la présente opération, la totalité du capital de La Source était</w:t>
        <w:br/>
        <w:t>détenue par le groupe d’investissement Aurelius, spécialisé dans l’acquisition d’entreprise en</w:t>
        <w:br/>
        <w:t>difficulté.</w:t>
        <w:br/>
        <w:t>6. L’ensemble des actifs de la société La Source sur lesquels porte la présente opération, ont</w:t>
        <w:br/>
        <w:t>permis de réaliser en 2009, un chiffre d’affaires mondial de […] millions d’euros, dont [&gt;50]</w:t>
        <w:br/>
        <w:t>millions d’euros en France.</w:t>
        <w:br/>
        <w:t>B. L’OPÉRATION</w:t>
        <w:br/>
        <w:t>7. Par jugement en date du 29 juillet 2009, le tribunal de commerce d’Orléans a ouvert une</w:t>
        <w:br/>
        <w:t>procédure de redressement judiciaire au bénéfice de la société La Source et de ses deux</w:t>
        <w:br/>
        <w:t>filiales les sociétés Deret e.QLS et GBS+QLS.</w:t>
        <w:br/>
        <w:t>8. Le 5 février 2010, 3SI a présenté une offre définissant les actifs qu’elle se proposait de</w:t>
        <w:br/>
        <w:t>reprendre. Une seconde puis une troisième offre, en date du 19 février et du 9 mars 2010, sont</w:t>
        <w:br/>
        <w:t>venues préciser la première.</w:t>
        <w:br/>
        <w:t>9. Par jugement en date du 15 mars 2010, le tribunal de commerce d’Orléans a arrêté, au profit</w:t>
        <w:br/>
        <w:t>de la société 3SI, un plan de cession des actifs de La Source. L’acquisition porte notamment</w:t>
        <w:br/>
        <w:t>sur les éléments suivants2 :</w:t>
        <w:br/>
        <w:t>le fonds de commerce ;</w:t>
        <w:br/>
        <w:t>la clientèle et l’achalandage attachés audit fonds ;</w:t>
        <w:br/>
        <w:t>les marques, enseignes et dénominations commerciales ;</w:t>
        <w:br/>
        <w:t>tous fichiers et notamment les fichiers relatifs aux documentations techniques, aux</w:t>
        <w:br/>
        <w:t>clients, produits, fournisseurs, ressources humaines, politique commerciale ;</w:t>
        <w:br/>
        <w:t>tous sites Internet et noms de domaine.</w:t>
        <w:br/>
        <w:t>10. La partie notifiante précise qu’elle entend conserver la spécificité de la marque Quelle/La</w:t>
        <w:br/>
        <w:t>Source ainsi que son activité qu’elle juge complémentaires avec le groupe 3SI.</w:t>
        <w:br/>
        <w:t>11. Il convient par ailleurs d’indiquer que sur le secteur de la vente à distance, le groupe Otto a</w:t>
        <w:br/>
        <w:t>récemment repris dans plusieurs Etats membres un certains nombre d’actifs, dont notamment</w:t>
        <w:br/>
        <w:t>la marque « Quelle ». Cette opération, autorisée par la Commission européenne le 16 février</w:t>
        <w:br/>
        <w:t>20103, et le rachat de la société La Source par 3SI constituent deux concentrations distinctes4.</w:t>
        <w:br/>
        <w:t>1 La société Quelle a initialement été créée en 1965 pour commercialiser les produits de la société Quelle Allemagne.</w:t>
        <w:br/>
        <w:t>2 Il convient de noter que les participations détenues par La Source dans les sociétés Deret e.QLS et GBS+QLS sont exclues du périmètre de</w:t>
        <w:br/>
        <w:t>reprise.</w:t>
        <w:br/>
        <w:t>3 Décision de la Commission européenne n°COMP/M.5721 – Otto/Primondo Assets du 16 février 2010.</w:t>
        <w:br/>
        <w:t>4 Ces acquisitions ne sont pas juridiquement liées. Par ailleurs, les vendeurs ne sont pas les mêmes dans les deux cas.</w:t>
        <w:br/>
        <w:t>2</w:t>
      </w:r>
    </w:p>
    <w:p>
      <w:r>
        <w:t>12. En ce qu’elle se traduit par la prise de contrôle exclusif par la société 3 Suisses International</w:t>
        <w:br/>
        <w:t>de certains actifs de la société La Source, ces derniers constituant une activité se traduisant</w:t>
        <w:br/>
        <w:t>par une présence sur un marché et à laquelle un chiffre d’affaires peut être rattaché sans</w:t>
        <w:br/>
        <w:t>ambiguïté, l’opération notifiée constitue une concentration au sens de l’article L. 430-1 du</w:t>
        <w:br/>
        <w:t>code de commerce. Compte tenu des chiffres d’affaires des entreprises concernées, elle ne</w:t>
        <w:br/>
        <w:t>revêt pas une dimension communautaire. En revanche, les seuils de contrôle mentionnés par</w:t>
        <w:br/>
        <w:t>l’article L. 430-2 du code de commerce sont franchis. La présente opération est donc soumise</w:t>
        <w:br/>
        <w:t>aux dispositions des articles L. 430-3 et suivants du code de commerce relatifs à la</w:t>
        <w:br/>
        <w:t>concentration économique.</w:t>
        <w:br/>
        <w:t>II. Délimitation des marchés pertinents</w:t>
        <w:br/>
        <w:t>13. Eu égard aux activités exercées par les parties, la présente opération emporte un</w:t>
        <w:br/>
        <w:t>chevauchement dans le secteur de la distribution au détail de produits non alimentaires.</w:t>
        <w:br/>
        <w:t>A. LES MARCHÉS AVAL DE LA DISTRIBUTION DE PRODUITS NON ALIMENTAIRES</w:t>
        <w:br/>
        <w:t>1. LES MARCHÉS DE PRODUITS</w:t>
        <w:br/>
        <w:t>14. La pratique décisionnelle tant nationale que communautaire distingue d’une part le commerce</w:t>
        <w:br/>
        <w:t>de détail alimentaire, et d’autre part le commerce de détail non alimentaire5. En l’espèce, les</w:t>
        <w:br/>
        <w:t>parties sont uniquement présentes dans le secteur de la distribution au détail de produits non</w:t>
        <w:br/>
        <w:t>alimentaires.</w:t>
        <w:br/>
        <w:t>a) Segmentation par famille de produits</w:t>
        <w:br/>
        <w:t>15. S’agissant de la distribution de produits non alimentaires, les autorités de concurrence aussi</w:t>
        <w:br/>
        <w:t>bien nationales que communautaire distinguent traditionnellement autant de marchés qu’il</w:t>
        <w:br/>
        <w:t>existe de familles de produits. Suivant cette approche, la Commission européenne, dans sa</w:t>
        <w:br/>
        <w:t>récente décision n°COMP/M.57216, a ainsi retenu seize familles de produits : les vêtements</w:t>
        <w:br/>
        <w:t>pour femme, les vêtements pour homme, les vêtements pour enfant, les sous-vêtements, les</w:t>
        <w:br/>
        <w:t>chaussures, les produits de cuir, les textiles de sport, les chaussures de sport, l’électronique,</w:t>
        <w:br/>
        <w:t>les gros appareils électriques, les petits appareils électriques, les produits de décoration et de</w:t>
        <w:br/>
        <w:t>jardinage, le linge de maison, l’éclairage, les jouets et le mobilier. L’autorité communautaire</w:t>
        <w:br/>
        <w:t>précise en effet qu’au sein de chacun des marchés ainsi définis, la concurrence varie</w:t>
        <w:br/>
        <w:t>significativement en raison du degré de spécialisation d’un nombre important d’acteurs sur</w:t>
        <w:br/>
        <w:t>une ou plusieurs familles.</w:t>
        <w:br/>
        <w:t>5 Lettre du ministre de l’économie, des finances et de l’industrie en date du 24 décembre 2001 aux conseils des sociétés Galeries Lafayette et</w:t>
        <w:br/>
        <w:t>Marks &amp; Spencer relative à une concentration dans le secteur de la distribution, décisions de la Commission européenne n°COMP/M.070 –</w:t>
        <w:br/>
        <w:t>Otto/Gratta du 21 mars 1991, n°COMP/M.080 – La Redoute/Empire du 25 avril 1991 et n°COMP/M.5721 – Otto/Primondo Asstes du 16</w:t>
        <w:br/>
        <w:t>février 2010.</w:t>
        <w:br/>
        <w:t>6 Voir la décision Otto/Primondo Assets précitée.</w:t>
      </w:r>
    </w:p>
    <w:p>
      <w:r>
        <w:t>ENGLISH TRANSLATION:</w:t>
        <w:br/>
        <w:t>FRENCH REPUBLIC</w:t>
        <w:br/>
        <w:t>Decision No. 10-DCC-42 of May 25, 2010</w:t>
        <w:br/>
        <w:t>regarding the acquisition by the company 3 Suisses International SA of</w:t>
        <w:br/>
        <w:t>certain assets of the company La Source</w:t>
        <w:br/>
        <w:t>The Competition Authority,</w:t>
        <w:br/>
        <w:t>Having regard to the notification file sent to the merger service on March 5, 2010, declared</w:t>
        <w:br/>
        <w:t>complete on April 16, 2010, regarding the acquisition by the company 3 Suisses International SA of</w:t>
        <w:br/>
        <w:t>certain assets of the company La Source;</w:t>
        <w:br/>
        <w:t>Having regard to Book IV of the Commercial Code relating to price freedom and competition, and</w:t>
        <w:br/>
        <w:t>notably its Articles L. 430-1 to L. 430-7;</w:t>
        <w:br/>
        <w:t>Having regard to the supplementary elements transmitted by the parties during the investigation;</w:t>
        <w:br/>
        <w:t>Adopts the following decision:</w:t>
        <w:br/>
        <w:t>I. The companies concerned and the transaction</w:t>
        <w:br/>
        <w:t>A. THE COMPANIES CONCERNED</w:t>
        <w:br/>
        <w:t>1. The company 3 Suisses International SA (hereinafter "3SI") is the parent holding company of the 3</w:t>
        <w:br/>
        <w:t>Suisses group. Established in about fifteen countries, the 3 Suisses group is primarily active</w:t>
        <w:br/>
        <w:t>in the distance selling ("VAD") of non-food products, both online and through catalogs, aimed at individuals. The capital of the company 3SI is</w:t>
        <w:br/>
        <w:t>51% held by Otto Europe, a subsidiary of the German group Otto, and 44% by the company</w:t>
        <w:br/>
        <w:t>FIPAR of the Mulliez group, with the remainder of the capital held by the companies Soparsuis and FCPE,</w:t>
        <w:br/>
        <w:t>both controlled by members of the staff of 3SI.</w:t>
        <w:br/>
        <w:t>2. Upon reading the agreement concluded by Otto and FIPAR [Confidential].</w:t>
        <w:br/>
        <w:t>3. It follows from the above that the Otto group solely holds control of the company 3SI.</w:t>
        <w:br/>
        <w:t>4. The Otto group achieved a turnover of 10.109 billion euros in 2009, the last closed fiscal year, of which [&gt;150] million euros in the European Union and [&gt;50] million euros in France.</w:t>
      </w:r>
    </w:p>
    <w:p>
      <w:r>
        <w:t>5. The company La Source, formerly known as Quelle1, primarily engages in the distance selling of</w:t>
        <w:br/>
        <w:t>non-food products aimed at individuals, whether through catalogs or on the Internet. Prior to the current transaction, the entire capital of La Source was held by the investment group Aurelius, which specializes in acquiring distressed companies.</w:t>
        <w:br/>
        <w:t>6. The entirety of the assets of the company La Source involved in the current transaction enabled the realization of a global turnover of […] million euros in 2009, of which [&gt;50] million euros were in France.</w:t>
        <w:br/>
        <w:t>B. THE TRANSACTION</w:t>
        <w:br/>
        <w:t>7. By judgment dated July 29, 2009, the Commercial Court of Orléans opened a judicial reorganization procedure for the benefit of the company La Source and its two subsidiaries, the companies Deret e.QLS and GBS+QLS.</w:t>
        <w:br/>
        <w:t>8. On February 5, 2010, 3SI submitted an offer defining the assets it proposed to acquire. A second and then a third offer, dated February 19 and March 9, 2010, further specified the first.</w:t>
        <w:br/>
        <w:t>9. By judgment dated March 15, 2010, the Commercial Court of Orléans approved, for the benefit of the company 3SI, a transfer plan for the assets of La Source. The acquisition notably concerns the following elements2:</w:t>
        <w:br/>
        <w:t>the business assets;</w:t>
        <w:br/>
        <w:t>the clientele and customer base attached to said assets;</w:t>
        <w:br/>
        <w:t>the brands, signs, and trade names;</w:t>
        <w:br/>
        <w:t>all files, including files related to technical documentation, customers, products, suppliers, human resources, commercial policy;</w:t>
        <w:br/>
        <w:t>all websites and domain names.</w:t>
        <w:br/>
        <w:t>10. The notifying party specifies that it intends to maintain the specificity of the Quelle/La Source brand as well as its activity, which it deems complementary to the 3SI group.</w:t>
        <w:br/>
        <w:t>11. It should also be noted that in the distance selling sector, the Otto group has recently acquired a number of assets in several Member States, including the brand "Quelle." This operation, authorized by the European Commission on February 16, 20103, and the acquisition of the company La Source by 3SI constitute two distinct concentrations4.</w:t>
        <w:br/>
        <w:t>1 The company Quelle was initially created in 1965 to market the products of Quelle Germany.</w:t>
        <w:br/>
        <w:t>2 It should be noted that the shares held by La Source in the companies Deret e.QLS and GBS+QLS are excluded from the scope of the acquisition.</w:t>
        <w:br/>
        <w:t>3 European Commission Decision No. COMP/M.5721 – Otto/Primondo Assets of February 16, 2010.</w:t>
        <w:br/>
        <w:t>4 These acquisitions are not legally linked. Furthermore, the sellers are not the same in both cases.</w:t>
        <w:br/>
        <w:t>2</w:t>
      </w:r>
    </w:p>
    <w:p>
      <w:r>
        <w:t>12. Insofar as it results in the exclusive control by the company 3 Suisses International of certain assets of the company La Source, these assets constituting an activity that translates into a presence in a market and to which a turnover can be unambiguously attributed, the notified operation constitutes a concentration within the meaning of Article L. 430-1 of the Commercial Code. Given the turnover of the companies concerned, it does not have a community dimension. However, the control thresholds mentioned in Article L. 430-2 of the Commercial Code are exceeded. The present operation is therefore subject to the provisions of Articles L. 430-3 and following of the Commercial Code relating to economic concentration.</w:t>
        <w:br/>
        <w:t>II. Definition of the relevant markets</w:t>
        <w:br/>
        <w:t>13. Given the activities carried out by the parties, the present operation entails an overlap in the retail distribution sector of non-food products.</w:t>
        <w:br/>
        <w:t>A. THE DOWNSTREAM MARKETS FOR NON-FOOD PRODUCT DISTRIBUTION</w:t>
        <w:br/>
        <w:t>1. THE PRODUCT MARKETS</w:t>
        <w:br/>
        <w:t>14. Both national and community decision-making practice distinguishes between food retail and non-food retail5. In this case, the parties are only present in the retail distribution sector of non-food products.</w:t>
        <w:br/>
        <w:t>a) Segmentation by product family</w:t>
        <w:br/>
        <w:t>15. Regarding the distribution of non-food products, both national and community competition authorities traditionally distinguish as many markets as there are product families. Following this approach, the European Commission, in its recent Decision No. COMP/M.57216, identified sixteen product families: women's clothing, men's clothing, children's clothing, underwear, footwear, leather goods, sports textiles, sports shoes, electronics, large household appliances, small household appliances, decoration and gardening products, household linen, lighting, toys, and furniture. The community authority specifies that within each of the markets thus defined, competition varies significantly due to the degree of specialization of a significant number of players in one or more families.</w:t>
        <w:br/>
        <w:t>5 Letter from the Minister of Economy, Finance and Industry dated December 24, 2001, to the boards of the companies Galeries Lafayette and Marks &amp; Spencer regarding a concentration in the distribution sector, European Commission decisions No. COMP/M.070 – Otto/Gratta of March 21, 1991, No. COMP/M.080 – La Redoute/Empire of April 25, 1991, and No. COMP/M.5721 – Otto/Primondo Assets of February 16, 2010.</w:t>
        <w:br/>
        <w:t>6 See the aforementioned Otto/Primondo Assets decision.</w:t>
      </w:r>
    </w:p>
    <w:p>
      <w:r>
        <w:rPr>
          <w:b/>
        </w:rPr>
        <w:t>[Pages 4–6]</w:t>
      </w:r>
    </w:p>
    <w:p>
      <w:r>
        <w:t>16. In the present case, taking into account their respective product portfolios, the parties have proposed to consider, for the purposes of competitive analysis, the categories in which they are simultaneously active, namely: women's clothing, men's clothing, children's clothing, underwear, footwear, sports textiles, sports shoes, decoration and furnishing products, home textiles, health and beauty items, and "tableware" products.</w:t>
      </w:r>
    </w:p>
    <w:p>
      <w:r>
        <w:t>17. The notifying party further specifies that "La Source does not sell any computer products, any cultural products, and has completely withdrawn from the sale of household appliances [...]. The few small electrical appliances sold by La Source (hair dryers, razors, epilators, massaging belts, certain 'naughty accessories', etc.) belong to the 'health and beauty' segment of its offering."</w:t>
      </w:r>
    </w:p>
    <w:p>
      <w:r>
        <w:t>b) Segmentation by distribution channel</w:t>
      </w:r>
    </w:p>
    <w:p>
      <w:r>
        <w:t>18. The competition authorities have repeatedly questioned a possible segmentation of the marketing of non-food products according to the distribution channel. In its decision n°COMP/M.5721, the Commission thus considers a distinction between distance selling on the one hand and in-store sales on the other.</w:t>
      </w:r>
    </w:p>
    <w:p>
      <w:r>
        <w:t>19. The notifying party believes that such segmentation is not relevant in this case and that a single market encompassing both distance selling and in-store sales should be considered. In this regard, it emphasizes that many retail players now use multiple distribution channels. Thus, some ready-to-wear, footwear, or furniture and decoration brands have a website offering the possibility to purchase online and have the same items delivered to their homes as those available in stores. To illustrate its point, the group 3 Suisses cites, as examples, the brands Kiabi, Promod, Yves Rocher, Ikea, and Conforama. Regarding the accessibility of the in-store offering, 3SI notes the presence, throughout the national territory, of both hypermarkets and supermarkets distributing non-food products (Carrefour, Leclerc...) as well as large specialized stores (such as Kiabi or Gémo). In addition to these brands primarily located in industrial and commercial areas, there are city center boutiques such as H&amp;M, Esprit, Promod, Jennifer, Zara... According to the reasoning of the notifying party, these various points of sale have sufficient accessibility to exert significant competitive pressure on distance selling players.</w:t>
      </w:r>
    </w:p>
    <w:p>
      <w:r>
        <w:t>20. The market test conducted during the investigation indicated the existence of a certain degree of competition between e-commerce and in-store sales. Notably, the responses obtained indicate that distance selling players would develop their commercial strategy taking into account the behavior of "physical" distribution networks.</w:t>
      </w:r>
    </w:p>
    <w:p>
      <w:r>
        <w:t>21. In the context of the Otto/Primondo Assets transaction, the European Commission indicates that the existence of a single market encompassing both distance selling and in-store sales is all the more likely given that the marketed products are standardized. However, more generally, the Commission notes a significant difference in the way distance selling and "physical" selling distributors communicate and acquire customers. The community authority thus points out that, from the consumer's perspective, purchasing in-store offers the possibility to inspect the desired product and, if necessary, to benefit from the advice of a specialized seller. Moreover, the items presented are, most of the time, available immediately. The Commission further notes that distance selling has the advantage of allowing purchases at any time of the day and week, from one's place of residence.</w:t>
      </w:r>
    </w:p>
    <w:p>
      <w:r>
        <w:t>22. Specifically regarding distance selling, the community authority considers, in its aforementioned decision n°COMP/M.5721, that all distribution channels specific to this mode of marketing (Internet, catalog, and others) belong to the same relevant market. Indeed, the rapid spread of Internet access within households has led to a significant decline in demand for catalog sales in favor of e-commerce. This cannibalization trend indicates a significant degree of substitutability between the main distance selling channels, namely the Internet and the catalog.</w:t>
      </w:r>
    </w:p>
    <w:p>
      <w:r>
        <w:t>23. The existence of a single market encompassing the various channels of distance selling of non-food products has also been noted by national decision-making practice, particularly in the DIY and professional equipment sector.</w:t>
      </w:r>
    </w:p>
    <w:p>
      <w:r>
        <w:t>24. In light of the above, the analysis will be conducted, in this case, on the markets for distance selling of non-food goods segmented by product families, distinct from those of in-store sales. However, account will be taken of the competitive pressure that in-store sales may exert on distance selling.</w:t>
      </w:r>
    </w:p>
    <w:p>
      <w:r>
        <w:t>25. However, in the absence of competitive issues, the question regarding the existence of a single market encompassing all distribution channels may remain open.</w:t>
      </w:r>
    </w:p>
    <w:p>
      <w:r>
        <w:t>2. THE GEOGRAPHIC MARKETS</w:t>
      </w:r>
    </w:p>
    <w:p>
      <w:r>
        <w:t>26. Regarding the distance distribution of non-food products, national and community authorities have retained, in previous decisions, a national delimitation, given the linguistic differences, the heterogeneity of consumer habits, as well as the costs and delivery times.</w:t>
      </w:r>
    </w:p>
    <w:p>
      <w:r>
        <w:t>27. In this case, the analysis will be conducted on the French markets for distance selling of non-food goods.</w:t>
      </w:r>
    </w:p>
    <w:p>
      <w:r>
        <w:t>B. THE UPSTREAM SUPPLY MARKETS</w:t>
      </w:r>
    </w:p>
    <w:p>
      <w:r>
        <w:t>1. THE PRODUCT MARKETS</w:t>
      </w:r>
    </w:p>
    <w:p>
      <w:r>
        <w:t>28. Both the group 3 Suisses and the company La Source purchase from various producers the items they then market to individuals.</w:t>
      </w:r>
    </w:p>
    <w:p>
      <w:r>
        <w:t>29. In the distribution sector, national decision-making practice considers that, insofar as producers cannot easily switch to manufacturing products other than their own, it is appropriate to distinguish as many markets as there are product families. In the case at hand, the various items marketed by the parties belong to the families identified above in paragraph 16.</w:t>
      </w:r>
    </w:p>
    <w:p>
      <w:r>
        <w:t>2. THE GEOGRAPHIC MARKETS</w:t>
      </w:r>
    </w:p>
    <w:p>
      <w:r>
        <w:t>30. According to decision-making practice, the different markets for the supply of non-food products are of national dimension. More specifically, regarding the markets for the supply of clothing and footwear, the markets have been defined by the French authorities as being of global dimension.</w:t>
      </w:r>
    </w:p>
    <w:p>
      <w:r>
        <w:t>31. In this case, regarding the upstream supply markets, the analysis will be conducted at the national level and, additionally, at the global level, for each of the concerned product families. In any case, in the absence of competitive issues, the exact delimitation of the supply markets may remain open.</w:t>
      </w:r>
    </w:p>
    <w:p>
      <w:r>
        <w:t>III. Competitive Analysis</w:t>
      </w:r>
    </w:p>
    <w:p>
      <w:r>
        <w:t>32. Given the activities carried out by the parties, the present transaction is likely to have horizontal effects on the upstream supply markets as well as on the various downstream markets for distance selling.</w:t>
      </w:r>
    </w:p>
    <w:p>
      <w:r>
        <w:t>33. In the distance selling sector, as indicated above, the parties are simultaneously active in the following product families: women's clothing, men's clothing, children's clothing, underwear, footwear, sports textiles, sports shoes, decoration and furnishing products, home textiles, health and beauty items, and "tableware" products.</w:t>
      </w:r>
    </w:p>
    <w:p>
      <w:r>
        <w:t>A. THE DOWNSTREAM MARKETS FOR DISTANCE SELLING OF NON-FOOD PRODUCTS</w:t>
      </w:r>
    </w:p>
    <w:p>
      <w:r>
        <w:t>1. WOMEN'S CLOTHING</w:t>
      </w:r>
    </w:p>
    <w:p>
      <w:r>
        <w:t>34. Regarding the distance selling of women's clothing, according to estimates provided by the parties using Kantar Worldpanel data, the market shares of the companies 3SI and La Source are respectively [20-30]% and [5-10]%. The new entity will therefore have an estimated position in this market of [20-30]%. However, the parties specify that due to the constant erosion of sales of the company La Source, the market share of this</w:t>
      </w:r>
    </w:p>
    <w:p>
      <w:r>
        <w:rPr>
          <w:b/>
        </w:rPr>
        <w:t>[Pages 7–9]</w:t>
      </w:r>
    </w:p>
    <w:p>
      <w:r>
        <w:t>last would be, for the year 2009, more likely in the range of [0-5]% and not [5-10]% as estimated by the Kantar Worldpanel study.</w:t>
      </w:r>
    </w:p>
    <w:p>
      <w:r>
        <w:t>35. After the completion of the transaction, the group 3 Suisses will still face competition from the PPR group (La Redoute and Daxon), whose market share is estimated, regarding the distance selling of women's clothing, at [20-30]%. In this market, the new entity will also be competing with Vente-Privée ([5-10]% market share), Damart ([5-10]% market share), and Kiabi ([0-5]% market share). The rest of the market is fragmented among numerous suppliers, particularly physical retail players who are expanding into distance selling online, or generalist online distributors, such as Ebay or Price Minister, who market, among other things, women's clothing.</w:t>
      </w:r>
    </w:p>
    <w:p>
      <w:r>
        <w:t>36. For the reasons previously outlined, it is also necessary to take into account the competitive pressure that physical sales may exert on distance selling.</w:t>
      </w:r>
    </w:p>
    <w:p>
      <w:r>
        <w:t>37. In this regard, the notifying party emphasizes that "peripheral chains" of physical stores, such as Kiabi, La Halle, or Gémo, have a customer profile and promotional behavior very similar to that of La Source. The group 3 Suisses also notes that in addition to this competition from specialized large retailers, there is competition from hypermarkets and city center stores, all of which constitute a network of sales points close to consumers' residences. Furthermore, the notifying party points out that this competitive pressure from "physical" stores on distance selling is all the stronger as a number of brands are evolving towards a mixed model, with a greater presence in distance selling, particularly via the Internet (the cited examples include Kiabi and Esprit).</w:t>
      </w:r>
    </w:p>
    <w:p>
      <w:r>
        <w:t>38. In its recent decision Otto/Primodo Assets, the Commission found in several Member States a certain degree of competition between distance selling and in-store sales for each identified product family, particularly for women's clothing. The Community authority observes that the prices and sales conditions of these two modes of marketing converge, and are even identical in some cases. Moreover, it appears that an increasing number of consumers are simultaneously using different distribution channels when making their consumption choices. Additionally, the Commission notes that distance selling players take into account the commercial behavior of "physical" brands.</w:t>
      </w:r>
    </w:p>
    <w:p>
      <w:r>
        <w:t>39. All the aforementioned points of the Community analysis have been confirmed by the market test conducted in the context of the present transaction. The responses obtained also indicate an increasing use by consumers of multiple distribution channels, reinforcing the convergence of prices and sales conditions among them.</w:t>
      </w:r>
    </w:p>
    <w:p>
      <w:r>
        <w:t>40. Finally, it should be noted, as the Commission points out in its aforementioned decision, that in-store sales exert, due to the sheer size of the volumes they represent, a significant pressure on distance selling. Indeed, particularly regarding women's clothing, distance selling represents just under 10% of the market in value, across all channels.</w:t>
      </w:r>
    </w:p>
    <w:p>
      <w:r>
        <w:t>41. In light of the preceding elements, the present transaction is not likely to harm competition in the French market for distance selling of women's clothing.</w:t>
      </w:r>
    </w:p>
    <w:p>
      <w:r>
        <w:t>2. HOME TEXTILES</w:t>
      </w:r>
    </w:p>
    <w:p>
      <w:r>
        <w:t>42. As for distance selling of home textiles, the market shares of the companies 3SI and La Source, according to Kantar Worldpanel data, are [30-40]% and [5-10]%, respectively. Following the transaction, the new entity will thus hold a market share of [40-50]% for this product family. It will also continue to face competition notably from the PPR group (La Redoute and Daxon) with [20-30]% market share and Françoise Saget-Linvosges whose sales represent [10-20]% of the revenues generated in distance selling of home textiles. Specifically regarding this latter player, it should be noted that the revenue reported by Kantar Worldpanel, namely […] million euros, is lower than the amount of 115 million euros announced by Activa Capital, the main shareholder of Françoise Saget-Linvosges. If we take the figure established by Activa Capital, the market share of the group 3 Suisses, once the transaction is completed, will be [40-50]% and those of its main competitors will be [10-20]% for PPR and [20-30]% for Françoise Saget-Linvosges.</w:t>
      </w:r>
    </w:p>
    <w:p>
      <w:r>
        <w:t>43. Furthermore, just as with the sale of women's clothing, it should be noted that in-store sales exert a certain competitive pressure on distance selling regarding the distribution of home textiles. Indeed, some "physical" brands have adopted a multichannel distribution model, combining a network of stores and an online sales site (notably citing the examples of Ikea, BHV, and Zara Home). This trend towards the interpenetration of distribution modes fosters the homogenization of prices and sales conditions, thus encouraging, as confirmed by the market test, notable competition between "physical" sales and distance selling. Moreover, as previously indicated, the players in in-store sales, due to the very importance of the volumes they represent (nearly 75% of transactions in home textiles), likely constitute a competitive element that distance selling companies take into account when developing their commercial strategy.</w:t>
      </w:r>
    </w:p>
    <w:p>
      <w:r>
        <w:t>44. In light of the preceding elements, the present transaction is not likely to harm competition in the French market for distance selling of home textiles.</w:t>
      </w:r>
    </w:p>
    <w:p>
      <w:r>
        <w:t>3. OTHER PRODUCT FAMILIES</w:t>
      </w:r>
    </w:p>
    <w:p>
      <w:r>
        <w:t>45. The market shares, both individual and cumulative, of the parties regarding the previously identified product families (excluding women's clothing and home textiles) are presented in the following table. Upon reviewing this data, it should be noted that for each category of item, the new entity will hold a market share of less than 25%. Furthermore, it will have to face competition from competitors with a significant position, notably the PPR and Yves Rocher groups, as well as the companies Vente-Privée, Damart, Décathlon, and Kiabi.</w:t>
      </w:r>
    </w:p>
    <w:p>
      <w:r>
        <w:t>46. In light of the preceding elements, the proposed transaction is not likely to harm competition in the French markets for distance selling of men's clothing, children's clothing, underwear, footwear, sports textiles, sports shoes, decoration and furnishing products, health and beauty items, and products referred to as "tableware."</w:t>
      </w:r>
    </w:p>
    <w:p>
      <w:r>
        <w:t>B. UPSTREAM SUPPLY MARKETS</w:t>
      </w:r>
    </w:p>
    <w:p>
      <w:r>
        <w:t>47. For each of the product segments identified above in paragraph 16, the vast majority of the parties' suppliers are actors located in China or other Asian countries. In these global markets, the parties represent an infinitesimal share of the total supplies and in any case less than [0-5]%.</w:t>
      </w:r>
    </w:p>
    <w:p>
      <w:r>
        <w:t>48. At the national level, the parties represent, for each of the selected product segments, at most [5-10]% of the total supplies in France.</w:t>
      </w:r>
    </w:p>
    <w:p>
      <w:r>
        <w:t>49. In light of the above, the proposed transaction is not likely to harm competition in the upstream supply markets, segmented by product family.</w:t>
      </w:r>
    </w:p>
    <w:p>
      <w:r>
        <w:rPr>
          <w:b/>
        </w:rPr>
        <w:t>[Pages 10–10]</w:t>
      </w:r>
    </w:p>
    <w:p>
      <w:r>
        <w:t>DECIDES</w:t>
      </w:r>
    </w:p>
    <w:p>
      <w:r>
        <w:t>Sole Article: The operation notified under number 10-0026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