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https://www.autoritedelaconcurrence.fr/fr/decision-de-controle-des-concentrations/relative-lacquisition-par-la-societe-automobiles-franc</w:t>
      </w:r>
    </w:p>
    <w:p>
      <w:r>
        <w:t>Pages translated : 3</w:t>
      </w:r>
    </w:p>
    <w:p/>
    <w:p>
      <w:r>
        <w:rPr>
          <w:b/>
        </w:rPr>
        <w:t>[Pages 1–3]</w:t>
      </w:r>
    </w:p>
    <w:p>
      <w:r>
        <w:t xml:space="preserve">FRENCH REPUBLIC  </w:t>
        <w:br/>
        <w:t xml:space="preserve">Decision No. 11-DCC-96 of July 8, 2011  </w:t>
        <w:br/>
        <w:t xml:space="preserve">regarding the acquisition by the company Automobiles Franc-comtoises of  </w:t>
        <w:br/>
        <w:t xml:space="preserve">two business assets in Dijon and Marsannay la Côte  </w:t>
        <w:br/>
        <w:t xml:space="preserve">The Competition Authority,  </w:t>
        <w:br/>
        <w:t xml:space="preserve">Having regard to the notification file submitted in full to the concentrations service on June 8, 2011,  </w:t>
        <w:br/>
        <w:t xml:space="preserve">regarding the acquisition by the company Automobiles Franc-comtoises of two business assets  </w:t>
        <w:br/>
        <w:t xml:space="preserve">held by the Société Commerciale Citroën formalized by a compromise of May 16, 2011;  </w:t>
        <w:br/>
        <w:t xml:space="preserve">Having regard to Book IV of the Commercial Code relating to price freedom and competition, and  </w:t>
        <w:br/>
        <w:t xml:space="preserve">notably its Articles L. 430-1 to L. 430-7;  </w:t>
        <w:br/>
        <w:t xml:space="preserve">Adopts the following decision:  </w:t>
        <w:br/>
        <w:t xml:space="preserve">I. The companies concerned and the operation  </w:t>
        <w:br/>
        <w:t xml:space="preserve">1. The company Automobiles Franc-comtoises is a company under French law, 99.98% owned by the holding company of the JMJ Automobiles group, which is equally held by Messrs. Jacques Dubois (50%) and Jean-Marc Dubois (50%). JMJ Automobiles, through Automobiles Franc-comtoises, operates Citroën brand dealerships located in the city of Besançon (25). These dealerships specialize in the distribution of new and used vehicles, the sale of spare parts and automotive accessories, and the repair and maintenance of vehicles.  </w:t>
        <w:br/>
        <w:t xml:space="preserve">2. The Société Commerciale Citroën (SCC) is a company under French law, currently 100% owned by the company Automobiles Citroën. It operates Citroën brand dealerships located in the cities of Dijon (21) and Marsannay-la Côte (21). These dealerships specialize in the distribution of new Citroën vehicles and used vehicles, the sale of spare parts and automotive accessories, and the repair and maintenance of vehicles. The company JMJ Automobiles, through Automobiles Franc-comtoises, has committed, by signing a compromise on May 16, 2011, to purchase from the SCC the two corresponding business assets. This acquisition constitutes a concentration operation within the meaning of Article L. 430-1 of the Commercial Code.  </w:t>
        <w:br/>
        <w:t xml:space="preserve">3. The companies concerned together achieve, in the last closed financial year, a total worldwide turnover of more than 150 million euros (JMJ Automobiles: 150.46 million euros for the financial year ended December 31, 2009; Dijon and Marsannay la Côte dealerships: 62.65 million euros for the 2010 financial year). Each achieves a turnover in France exceeding 50 million euros (the turnovers mentioned above are achieved exclusively in France). Given these turnovers, the operation does not have a Community dimension. However, the control thresholds related to retail trade mentioned in point 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A. DELIMITATION OF PRODUCT AND SERVICE MARKETS  </w:t>
        <w:br/>
        <w:t xml:space="preserve">4. In the automotive distribution sector, the decision-making practice distinguishes (i) the distribution of new passenger vehicles intended for individual customers; (ii) the distribution of new passenger vehicles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  </w:t>
        <w:br/>
        <w:t xml:space="preserve">5. There is no need to challenge these delimitations during the examination of the present operation.  </w:t>
        <w:br/>
        <w:t xml:space="preserve">6. In this case, the companies concerned are simultaneously present in five of these markets, namely (i) the sale of new passenger vehicles, (ii) the sale of commercial vehicles, (iii) the sale of used vehicles, (iv) the distribution of spare parts and automotive accessories, (v) maintenance and repair services for motor vehicles.  </w:t>
        <w:br/>
        <w:t xml:space="preserve">B. GEOGRAPHICAL DELIMITATION OF MARKETS  </w:t>
        <w:br/>
        <w:t xml:space="preserve">7. Regarding the retail sale of new or used motor vehicles, spare parts and automotive accessories, and maintenance and repair services for motor vehicles, the decision-making practice adopts a local definition, with the analysis generally conducted at the departmental level.  </w:t>
        <w:br/>
        <w:t xml:space="preserve">1 See notably Decision No. 09-DCC-01 of the Competition Authority of April 8, 2009, and Decision No. 10-DCC-23 of March 1, 2010.  </w:t>
        <w:br/>
        <w:t>2</w:t>
      </w:r>
    </w:p>
    <w:p>
      <w:r>
        <w:t xml:space="preserve">III. Competitive analysis  </w:t>
        <w:br/>
        <w:t xml:space="preserve">8. In this case, the target dealerships are located in Côte-d’Or (21) in the cities of Dijon and Marsannay la Côte. Since JMJ Automobiles has no other automotive dealerships in Côte d’Or, the operation does not result in any addition of market share.  </w:t>
        <w:br/>
        <w:t xml:space="preserve">9. The operation is therefore not likely to harm competition in the relevant markets.  </w:t>
        <w:br/>
        <w:t xml:space="preserve">DECIDES  </w:t>
        <w:br/>
        <w:t xml:space="preserve">Sole Article: The operation notified under number 11-0105 is authorized.  </w:t>
        <w:br/>
        <w:t xml:space="preserve">The President,  </w:t>
        <w:br/>
        <w:t xml:space="preserve">Bruno Lasserre  </w:t>
        <w:br/>
        <w:t xml:space="preserve">Competition Authority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