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https://www.autoritedelaconcurrence.fr/fr/decision-de-controle-des-concentrations/relative-lacquisition-par-la-societe-bollore-energie-de-la</w:t>
      </w:r>
    </w:p>
    <w:p>
      <w:r>
        <w:t>Pages translated : 10</w:t>
      </w:r>
    </w:p>
    <w:p/>
    <w:p>
      <w:r>
        <w:rPr>
          <w:b/>
        </w:rPr>
        <w:t>[Pages 1–3]</w:t>
      </w:r>
    </w:p>
    <w:p>
      <w:r>
        <w:t>FRENCH REPUBLIC</w:t>
        <w:br/>
        <w:t>Decision No. 14-DCC-37 of March 14, 2014</w:t>
        <w:br/>
        <w:t>regarding the acquisition by Bolloré Energie of Petroplus Marketing France</w:t>
        <w:br/>
        <w:t>The Competition Authority,</w:t>
        <w:br/>
        <w:t>Having regard to the notification file submitted to the merger service on September 16, 2013, and declared complete on February 7, 2014, regarding the acquisition by Bolloré Energie of shares in the capital of PMF, formalized by a takeover bid submitted on September 12, 2013, and accepted by judgment of the Commercial Court of Rouen pronounced on November 8, 2013;</w:t>
        <w:br/>
        <w:t>Having regard to Book IV of the Commercial Code relating to the freedom of prices and competition, and in particular its Articles L. 430-1 to L. 430-7;</w:t>
        <w:br/>
        <w:t>Having regard to the supplementary elements transmitted by the parties during the investigation;</w:t>
        <w:br/>
        <w:t>Adopts the following decision:</w:t>
        <w:br/>
        <w:t>I. The companies concerned and the operation</w:t>
        <w:br/>
        <w:t>1. Bolloré Energie (hereinafter "BE") is active in the sector of hydrocarbon storage and the distribution of petroleum products. It is 99.99% owned by the Bolloré Group, an independent publicly traded group, whose largest shareholder is the company Financière de l’Odet. This company is itself controlled by Mr. Vincent Bolloré and his family.</w:t>
        <w:br/>
        <w:t>2. Petroplus Marketing France (hereinafter "PMF") was 100% owned by Petroplus Holdings France. Prior to its liquidation, it was engaged in the trading and storage of petroleum products.</w:t>
        <w:br/>
        <w:t>3. The operation is part of the judicial liquidation procedure of Petroplus Holdings France opened on October 16, 2012, by the Commercial Court of Rouen. Bolloré Energie applied to take over the entire capital of PMF, which was 100% owned by Petroplus Holdings France. By judgment rendered on November 8, 2013, the Commercial Court of Rouen accepted Bolloré Energie's takeover bid. As it results in the exclusive control of PMF by BE, the notified operation constitutes a concentration within the meaning of Article L. 430-1 of the Commercial Code.</w:t>
      </w:r>
    </w:p>
    <w:p>
      <w:r>
        <w:t>4. The companies concerned together achieve a total worldwide turnover of more than 150 million euros (Bolloré Group: 11.29 billion euros for the fiscal year ending December 31, 2012; PMF: 1.06 billion euros for the same year). Each achieves a turnover in France exceeding 50 million euros (Bolloré Group: 5.18 billion euros; PMF: 1.06 billion euros). The notification thresholds of Article 1 paragraph 1 of Regulation (EC) 139/2004 are exceeded, but since each of the companies concerned achieves more than two-thirds of its turnover within the Union in France, the operation does not fall under the competence of the European Union (Community turnover of the Bolloré Group: 7.49 billion euros; PMF: 1.06 billion euros). On the other hand, the control thresholds mentioned in point I of Article L. 430-2 of the Commercial Code are exceeded. The present operation is therefore subject to the provisions of Articles L. 430-3 and following of the Commercial Code relating to economic concentration.</w:t>
        <w:br/>
        <w:t>II. Delimitation of the relevant markets</w:t>
        <w:br/>
        <w:t>5. Within the oil industry, the French and European competition authorities generally distinguish between "upstream" and "downstream" activities. Upstream activities consist of three types of activities: the search for new reserves (exploration), development (establishment of the necessary infrastructure for production: oil platforms, pipelines, terminals, etc.), and the commercial exploitation of these reserves (production). Downstream activities include the refining of crude oil, as well as the marketing of refined products and their distribution to end users.</w:t>
        <w:br/>
        <w:t>6. The operation concerns "downstream" oil activities, insofar as the activities of the parties overlap in the markets of sale (or "trading") and storage of petroleum products.</w:t>
        <w:br/>
        <w:t>7. BE also acquires, through this operation, a financial stake representing 5.5% of the capital of Trapil, which operates liquid hydrocarbon pipelines in France. This stake is purely financial and does not confer any rights of use or operation of the infrastructures operated by Trapil. It does not grant the right to a statutory board position, even though the Board of Directors has accepted the appointment of Mr. Cyrille Bolloré as it stands. BE is completely minority within the Board of Directors, which must consist of at least 9 members who decide by majority. Therefore, there is no need to further analyze the market for the transportation services of refined products by pipelines in this case.</w:t>
        <w:br/>
        <w:t>1 The 2012 turnover of the Bolloré Group takes into account the company Havas for the entire fiscal year, as its takeover occurred during the year 2012.</w:t>
        <w:br/>
        <w:t>2 See in particular the letter from the Minister of Economy, Finance and Industry C2006-37 of April 19, 2006, Vermilion/Esso, the decision of the Competition Authority 09-DCC-59 of October 26, 2009, regarding the acquisition of 37 service stations from the Shell network by Total Raffinage Marketing SA, and the decisions of the European Commission COMP/M.1383 of September 29, 1999, Exxon/Mobil, COMP/M.1464 of March 26, 1999, Total/PetroFina, and COMP/M.1628 of February 9, 2000, TotalFina/Elf.</w:t>
      </w:r>
    </w:p>
    <w:p>
      <w:r>
        <w:t>A. THE PETROLEUM PRODUCTS STORAGE MARKET</w:t>
        <w:br/>
        <w:t>1. PRODUCT MARKET</w:t>
        <w:br/>
        <w:t>8. The European Commission, whose analysis has been adopted by the national authorities, has defined the storage of refined products as follows: "storage constitutes a service carried out using depots intended for the reception and distribution of refined products (gasoline, diesel, domestic fuel) and consists of ensuring the availability to oil operators (refiners, independents, and large retailers), through rental contracts, of part of the reception capacity of the depot to allow operators to store, in this case, their own product."</w:t>
        <w:br/>
        <w:t>9. The Minister of Economy, reiterating the Commission's definition, distinguished between import depots, generally located along the coast to allow for easy replenishment by means of bulk transport, and inland distribution depots. He specifies that these depots differ in their storage capacity, with import depots able to store larger volumes than distribution depots. Import depots may also serve, in some cases, as distribution depots, with customers coming directly to supply themselves from these depots.</w:t>
        <w:br/>
        <w:t>10. There is no need to challenge this delimitation in the context of the present operation.</w:t>
        <w:br/>
        <w:t>11. In this case, Bolloré owns an import depot located in the Pays de la Loire region, but PMF does not operate any. Therefore, the operation does not create any overlap in activity in this market. On the other hand, each of the parties has several distribution depots.</w:t>
        <w:br/>
        <w:t>2. GEOGRAPHICAL MARKET</w:t>
        <w:br/>
        <w:t>12. Regarding distribution depots, the Competition Authority, adopting the decisions of the Commission and the Minister, has retained a catchment area of 150 kilometers around the depot to delineate the relevant market, since "each depot is likely to serve a catchment area [...] whose radius depends on the transport costs to be incurred for delivering the product to the final destination. These costs may vary according to the different means of transport available. However, on average, the delivery area of a depot rarely extends beyond 150 kilometers."</w:t>
        <w:br/>
        <w:t>13. There is no need to challenge this delimitation in the context of the present operation.</w:t>
      </w:r>
    </w:p>
    <w:p>
      <w:r>
        <w:rPr>
          <w:b/>
        </w:rPr>
        <w:t>[Pages 4–6]</w:t>
      </w:r>
    </w:p>
    <w:p>
      <w:r>
        <w:t>B. THE OFF-NETWORK SALE MARKET OF PETROLEUM PRODUCTS</w:t>
        <w:br/>
        <w:t>1. PRODUCT MARKET</w:t>
        <w:br/>
        <w:t>14. Competition authorities have distinguished, alongside retail sales at service stations, the sales of petroleum products "wholesale," also known as "off-network." Thus, according to the European Commission, "refined products are sold through retail or wholesale distribution channels. Retail sales include sales to motorists at service stations. [...] Wholesale sales include sales to three categories of customers: independent retailers (operators of unbranded service stations such as hypermarkets), other independent resellers, businesses, and other consumer establishments (hospitals, car rental companies, factories)."</w:t>
        <w:br/>
        <w:t>15. In this case, the parties are simultaneously present in the only market for the sale of off-network petroleum products.</w:t>
        <w:br/>
        <w:t>16. Within the market for the sale of off-network petroleum products, a finer segmentation based on the type of customers (resellers vs. professional users) has been considered in certain decisions. In this case, the question may remain open, as the conclusions of the analysis remain unchanged regardless of the segmentation adopted.</w:t>
        <w:br/>
        <w:t>17. Furthermore, both national and community competition authorities have considered that the off-network sale of each refined product constitutes a distinct product market, which should not be called into question in the context of the present operation.</w:t>
        <w:br/>
        <w:t>18. The Commission has also considered that cargo sales, which refer to large volumes delivered to wholesalers, traders, and retailers, should be subject to a distinct competitive analysis. These deliveries are made directly from the refinery, using so-called "primary" or "bulk" transport means (i.e., by rail, pipeline, boat, or barge) to the customers' storage depots. This distinction does not need to be called into question in this case. PMF conducted such bulk sales on behalf of its parent company's refineries as an agent, prior to the closure of the Petroplus refineries in Reichstett and Petit-Couronne, respectively in 2011 and February 2013. Since the refineries were not acquired by BE, PMF's cargo sales activity will not be subject to competitive analysis.</w:t>
      </w:r>
    </w:p>
    <w:p>
      <w:r>
        <w:t>2. GEOGRAPHICAL MARKET</w:t>
        <w:br/>
        <w:t>19. The Commission has retained a regional, national, or even supranational dimension for the off-network sale market of petroleum products depending on the member states considered. Regarding France, it has repeatedly estimated that "in terms of off-network sales, demand generally relies on light transport means, whose range is limited to a distance of 100-150 km. It follows from these considerations that the place of confrontation between supply and demand appears geographically narrow and may be limited to a regional territory. [...] Specifically concerning the French market, the supply tool for the territory in fuels, constituted by the source of the product (refineries and oil ports) and the logistics of transport and storage, is arranged in such a way that it reveals the existence of different geographical markets for off-network sales. [...] The current French system allows for the distinction of six geographical zones for the supply of refined petroleum products." The Commission has identified the following six zones: the South zone, the East zone, the North zone, the Normandy and Paris region zone, the Grand West and Center zone, and the Rhône-Bourgogne zone.</w:t>
        <w:br/>
        <w:t>20. Regarding the potential market for off-network retail sales, and although the question of the exact delimitation of the market has been left open, an analysis at the departmental level has been conducted by the Competition Authority.</w:t>
        <w:br/>
        <w:t>21. In any case, the question of the exact geographical dimension of the off-network petroleum products sale market can be left open as the conclusions of the analysis remain unchanged regardless of the delimitation adopted. In this case, the competitive analysis will be conducted at the regional level (regions being understood in the sense of "regional zones," as defined by the Commission) for off-network sales. An additional analysis will be conducted at the departmental level for the potential market of off-network retail sales.</w:t>
      </w:r>
    </w:p>
    <w:p>
      <w:r>
        <w:t>III. Competitive Analysis</w:t>
        <w:br/>
        <w:t>A. THE PETROLEUM PRODUCTS STORAGE MARKET</w:t>
        <w:br/>
        <w:t>22. PMF holds operational stakes in the capital of the following companies, which operate petroleum product storage depots. These stakes grant PMF, in addition to dividends, the right to use the depots operated by these companies:</w:t>
        <w:br/>
        <w:t>- Raffinerie du Midi (33.3%), which operates storage depots in Orléans, Coignières, Dijon, and Annecy;</w:t>
        <w:br/>
        <w:t>- Groupement Pétrolier de Saint Pierre des Corps (hereinafter "GPSPC") (20%), which operates a storage depot in this city;</w:t>
        <w:br/>
        <w:t>- Entrepôt Pétrolier de Valenciennes (hereinafter "EP Valenciennes") (16%), which operates a storage depot in this city;</w:t>
        <w:br/>
        <w:t>- Entrepôt Pétrolier de Mulhouse (hereinafter "EP Mulhouse") (14.3%), which operates a storage depot in this city.</w:t>
        <w:br/>
        <w:t>23. BE has storage capacities in 12 network depots. Given the geographical complementarity of the network depots, the activities of the parties only overlap in three areas: Orléans, Coignières, and Mulhouse.</w:t>
        <w:br/>
        <w:t>24. The storage capacities held by the operators have been calculated based on the equity share held in the relevant deposit companies. This approach is consistent with the operating agreements of the depots, which stipulate that the right to capacity of a partner in a depot depends on the percentage of capital they hold and the traffic they generated in the previous year.</w:t>
        <w:br/>
        <w:t>25. The parties have also included in their analysis the so-called "closed" storage depots, meaning depots that are not available for rent to independent petroleum operators. In their previous practice, the Commission and the Minister of Economy have taken into account the open or closed nature of the depots, excluding from the market the storage capacities that cannot be rented to third parties. In this case, the question does not need to be resolved, as the conclusions of the competitive analysis remain unchanged regardless of the assumption retained.</w:t>
        <w:br/>
        <w:t>Around the Orléans depot</w:t>
        <w:br/>
        <w:t>26. In the catchment area of the Orléans depot, of which the target holds [...] % of the capital, the cumulative share of the parties reaches [20-30] % when considering the closed depots. Competitors are also numerous and powerful in the area: Total holds approximately [20-30] % market share, CIM-CCMP [20-30] %, and Esso around [10-20] %.</w:t>
      </w:r>
    </w:p>
    <w:p>
      <w:r>
        <w:rPr>
          <w:b/>
        </w:rPr>
        <w:t>[Pages 7–9]</w:t>
      </w:r>
    </w:p>
    <w:p>
      <w:r>
        <w:t xml:space="preserve">Société propriétaire Part de marché Part capital Part Capital Part de marché  </w:t>
        <w:br/>
        <w:t xml:space="preserve">Dépôt  </w:t>
        <w:br/>
        <w:t xml:space="preserve">du dépôt des Dépôts BE (%) P+ (%) BE et P+  </w:t>
        <w:br/>
        <w:t xml:space="preserve">Orléans RM [10-20] % […] [0-5] %  </w:t>
        <w:br/>
        <w:t xml:space="preserve">Coignières RM RM [10-20] % 33 [0-5] %  </w:t>
        <w:br/>
        <w:t xml:space="preserve">St Pierre de Corps GPSPC GPSPC [5-10] % 20 [0-5] %  </w:t>
        <w:br/>
        <w:t xml:space="preserve">La Ferté SFDM [10-20] % 95 [10-20] %  </w:t>
        <w:br/>
        <w:t xml:space="preserve">Mitry CCMP [5-10] %  </w:t>
        <w:br/>
        <w:t xml:space="preserve">La Rochette EPHS [0-5] %  </w:t>
        <w:br/>
        <w:t xml:space="preserve">Grigny CIM [5-10] %  </w:t>
        <w:br/>
        <w:t xml:space="preserve">Gennevilliers SOGEPP [5-10] %  </w:t>
        <w:br/>
        <w:t xml:space="preserve">Gennevilliers Total Total [0-5] %  </w:t>
        <w:br/>
        <w:t xml:space="preserve">Nanterre CCMP [5-10] %  </w:t>
        <w:br/>
        <w:t xml:space="preserve">Nanterre Total Total [0-5] %  </w:t>
        <w:br/>
        <w:t xml:space="preserve">Villeneuve GPVM ESSO [0-5] %  </w:t>
        <w:br/>
        <w:t xml:space="preserve">St Pierre de Corps CCMP CCMP [0-5] %  </w:t>
        <w:br/>
        <w:t xml:space="preserve">Beaune la Rolande Argos [5-10] %  </w:t>
        <w:br/>
        <w:t xml:space="preserve">La Mans SDPS [5-10] %  </w:t>
        <w:br/>
        <w:t xml:space="preserve">Vitry Delek [5-10] %  </w:t>
        <w:br/>
        <w:t xml:space="preserve">TOTAL Zone Orléans 100 % [20-30] %  </w:t>
        <w:br/>
        <w:t xml:space="preserve">27. Excluding the closed depots from the competitive analysis of the area, the market share of BE post-operation does not exceed 25 %.  </w:t>
        <w:br/>
        <w:t xml:space="preserve">28. The operation is therefore not likely to harm competition in the Orléans area.  </w:t>
        <w:br/>
        <w:t xml:space="preserve">Around the Coignières depot  </w:t>
        <w:br/>
        <w:t xml:space="preserve">29. In the catchment area of the Coignières depot, in which PMF holds 33 % of the capital, the cumulative share of the parties is [5-10] % taking into account the closed depots. Many competitors are present in this area, notably CIM-CCMP, a dominant operator that holds approximately [50-60] % market share in this area:  </w:t>
        <w:br/>
        <w:t xml:space="preserve">Société propriétaire Part de marché Part capital Part Capital Part de marché  </w:t>
        <w:br/>
        <w:t xml:space="preserve">Dépôt  </w:t>
        <w:br/>
        <w:t xml:space="preserve">du dépôt des Dépôts BE (%) P+ (%) BE et P+  </w:t>
        <w:br/>
        <w:t xml:space="preserve">Coignières RM [5-10] % 33 [0-5] %  </w:t>
        <w:br/>
        <w:t xml:space="preserve">Orléans RM [5-10] % […] [0-5] %  </w:t>
        <w:br/>
        <w:t xml:space="preserve">La Ferté SFDM [5-10] % 95 [5-10] %  </w:t>
        <w:br/>
        <w:t xml:space="preserve">Rouen Rubis [5-10] %  </w:t>
        <w:br/>
        <w:t xml:space="preserve">Mitry CCMP [0-5] %  </w:t>
        <w:br/>
        <w:t xml:space="preserve">Grigny CIM [0-5] %  </w:t>
        <w:br/>
        <w:t xml:space="preserve">Gennevilliers SOGEPP [0-5] %  </w:t>
        <w:br/>
        <w:t xml:space="preserve">Gennevilliers Total Total [0-5] %  </w:t>
        <w:br/>
        <w:t xml:space="preserve">Villeneuve GPVM Esso [0-5] %  </w:t>
        <w:br/>
        <w:t xml:space="preserve">Nanterre CCMP [0-5] %  </w:t>
        <w:br/>
        <w:t xml:space="preserve">Nanterre Total Total [0-5] %  </w:t>
        <w:br/>
        <w:t xml:space="preserve">Vitry Delek [0-5] %  </w:t>
        <w:br/>
        <w:t xml:space="preserve">Le Mans SDPS [0-5] %  </w:t>
        <w:br/>
        <w:t xml:space="preserve">Le Havre CIM CIM [40-50] %  </w:t>
        <w:br/>
        <w:t xml:space="preserve">Le Havre SHMPP SHMPP [5-10] %  </w:t>
        <w:br/>
        <w:t xml:space="preserve">Le Havre SEPP SEPP [0-5] %  </w:t>
        <w:br/>
        <w:t xml:space="preserve">TOTAL Zone Coignières 100% [5-10] %  </w:t>
        <w:br/>
        <w:t xml:space="preserve">30. Excluding the closed depots from the analysis, the market share of the new entity would not exceed 15 %.  </w:t>
        <w:br/>
        <w:t xml:space="preserve">31. Consequently, the operation is not likely to harm competition in the Coignières area.  </w:t>
        <w:br/>
        <w:t xml:space="preserve">Around the Mulhouse depot  </w:t>
        <w:br/>
        <w:t xml:space="preserve">32. In the catchment area of the Mulhouse depot, of which PMF holds 14.3 % of the capital, the cumulative share of the parties is [5-10] % taking into account the closed depots. Following the operation, the new entity faces Rubis, which totals approximately [50-60] % market share. Total, Argos, Esso, and Wallach are also present in the area.  </w:t>
        <w:br/>
        <w:t xml:space="preserve">Société propriétaire Part de marché Part capital Part Capital Part de marché  </w:t>
        <w:br/>
        <w:t xml:space="preserve">Dépôt  </w:t>
        <w:br/>
        <w:t xml:space="preserve">du dépôt des Dépôts BE (%) P+ (%) BE et P+  </w:t>
        <w:br/>
        <w:t xml:space="preserve">Mulhouse EPM EPM [5-10] % 14 [0-5] %  </w:t>
        <w:br/>
        <w:t xml:space="preserve">Strasbourg BE BE [0-5] % 100 [0-5] %  </w:t>
        <w:br/>
        <w:t xml:space="preserve">Meroux BE BE [0-5] % 100 [0-5] %  </w:t>
        <w:br/>
        <w:t xml:space="preserve">Mulhouse BE BE [0-5] % 100 [0-5] %  </w:t>
        <w:br/>
        <w:t xml:space="preserve">Mulhouse Wallach Argos [0-5] %  </w:t>
        <w:br/>
        <w:t xml:space="preserve">Village Neuf Rubis [5-10] %  </w:t>
        <w:br/>
        <w:t xml:space="preserve">Strasbourg SES Rubis [30-40] %  </w:t>
        <w:br/>
        <w:t xml:space="preserve">Reichstett Rubis Rubis [40-50] %  </w:t>
        <w:br/>
        <w:t xml:space="preserve">TOTAL Zone Mulhouse 100 % [5-10] %  </w:t>
        <w:br/>
        <w:t xml:space="preserve">33. Excluding the closed depots from the analysis, the operation does not lead to any overlap of activities, as the three depots held by BE in the area are closed.  </w:t>
        <w:br/>
        <w:t xml:space="preserve">34. The operation is thus not likely to harm competition in the Mulhouse area.  </w:t>
        <w:br/>
        <w:t xml:space="preserve">B. THE OFF-NETWORK SALE MARKET OF PETROLEUM PRODUCTS  </w:t>
        <w:br/>
        <w:t xml:space="preserve">35. Regarding the trading of petroleum products, the notifying party argues that, since PMF no longer generates turnover in the trading market at the time of the operation, the operation would have no significant impact on this market. It specifies that PMF's activity in the trading markets will no longer be vertically integrated and will no longer benefit from the supply source of petroleum products previously provided by the two refineries operated by the Petroplus group, and that no contract corresponding to this activity is transferred to Bolloré at the end of the operation.  </w:t>
        <w:br/>
        <w:t xml:space="preserve">36. However, the control of concentrations aims to provide a forward-looking analysis of the development capabilities that the operation opens for the parties to the operation and the future effects on competition in the relevant markets. The economic situation of the target company at the time of the operation, which was no longer generating turnover, cannot therefore lead to the exclusion of the examination of the fuel trading market. On the contrary, it implies collecting data from a period when the target was in a viable and stable economic situation, in order to best assess the future position of the various operators in the markets impacted by the operation.  </w:t>
        <w:br/>
        <w:t xml:space="preserve">37. In this case, given the particular financial situation of PMF at the time of its acquisition, the analysis of the off-network sale market of petroleum products cannot be conducted for the last closed fiscal year, namely the year 2013, where PMF's sales in the petroleum products trading market are insignificant. Indeed, PMF ceased generating turnover from May 2013. PMF's position in the market will therefore be analyzed based on the sales of 2012, the last complete fiscal year conducted by the target company.  </w:t>
        <w:br/>
        <w:t xml:space="preserve">38. Furthermore, it should be noted that the parties have not been able to accurately provide the market shares of competitors or the overall size of the various markets, as this data is very difficult to access in the sector. The volume and market share data used in this analysis are based on estimates made by the notifying party, and partly based on data from the Professional Petroleum Committee (CPDP), as well as on responses to the market test communicated to the main competitors of the parties.  </w:t>
        <w:br/>
        <w:t xml:space="preserve">39. Regarding the off-network sale of motor diesel, non-road diesel, and gasoline, the position of the new entity remains weak following the operation, regardless of the product segmentation and geographical delimitation retained. The cumulative market share of the parties will not exceed [0-5] % in the off-network gasoline sale market, and [10-20] % in the respective off-network motor diesel and off-network non-road diesel sale markets. The operation is therefore not likely to harm competition in these markets.  </w:t>
        <w:br/>
        <w:t xml:space="preserve">40. Regarding the off-network sale of domestic heating oil, in the overlapping areas of the parties, the market share of the new entity will not exceed [10-20] %, regardless of the market considered in terms of products or geographical dimension. Only one of the departments that make up the regional area "Normandy and Paris Region" is an exception and requires a specific competitive analysis.  </w:t>
        <w:br/>
        <w:t xml:space="preserve">41. It should first be noted that the market shares calculated for the purposes of this analysis are based on an estimate of the overall departmental market derived from the addition of the volumes sold by the main players, surveyed during the market test. They therefore constitute a maximalist hypothesis for the parties.  </w:t>
        <w:br/>
        <w:t xml:space="preserve">42. In the regional area "Normandy and Paris Region," the cumulative market share of the parties will be [15-20] % in the off-network sale market of domestic heating oil across all customers and in the off-network wholesale market, and [10-15] % in the off-network retail sale market.  </w:t>
        <w:br/>
        <w:t xml:space="preserve">43. Regarding the off-network sale of domestic heating oil at retail, the market share of BE following the operation will not exceed [5-10] % in any of the seven departments that make up the regional area "Normandy and Paris Region," except in Hauts-de-Seine. In this department, the new entity will total, following the operation, a market share of around [50-60] %. Nevertheless, it will face two significant players in this department, Worex (Esso) and BP France, which hold respectively [20-30] % and [10-20] % market share. It should also be noted that other powerful operators, such as Total, Argos, and Dyneff, are present in the wholesale domestic heating oil market in this same department, and it would be easy for them to position themselves in the retail market in case of price increases, given that the products sold are identical. It also seems conceivable that customers in Hauts-de-Seine may source domestic heating oil at retail in the neighboring departments of Essonne and Yvelines, where the market share of the new entity will be less than [0-5] %.  </w:t>
        <w:br/>
        <w:t xml:space="preserve">44. The operation is therefore not likely to create competition problems in this area.  </w:t>
        <w:br/>
        <w:t>23 The conclusions of the analysis would remain unchanged if the 2011 data had been taken into account.</w:t>
      </w:r>
    </w:p>
    <w:p>
      <w:r>
        <w:rPr>
          <w:b/>
        </w:rPr>
        <w:t>[Pages 10–10]</w:t>
      </w:r>
    </w:p>
    <w:p>
      <w:r>
        <w:t>DECIDES</w:t>
        <w:br/>
        <w:t>Single Article: The operation notified under number 13-160 is authorized.</w:t>
        <w:b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