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https://www.autoritedelaconcurrence.fr/fr/decision-de-controle-des-concentrations/relative-lacquisition-par-la-societe-bull-sa-dactifs-de-la</w:t>
      </w:r>
    </w:p>
    <w:p>
      <w:r>
        <w:t>Pages translated : 4</w:t>
      </w:r>
    </w:p>
    <w:p/>
    <w:p>
      <w:r>
        <w:rPr>
          <w:b/>
        </w:rPr>
        <w:t>[Pages 1–3]</w:t>
      </w:r>
    </w:p>
    <w:p>
      <w:r>
        <w:t xml:space="preserve">FRENCH REPUBLIC  </w:t>
        <w:br/>
        <w:t xml:space="preserve">Decision No. 09-DCC-93 of December 31, 2009  </w:t>
        <w:br/>
        <w:t xml:space="preserve">regarding the acquisition by Bull SA of assets  </w:t>
        <w:br/>
        <w:t>from Crescendo Industries</w:t>
      </w:r>
    </w:p>
    <w:p>
      <w:r>
        <w:t xml:space="preserve">The Competition Authority,  </w:t>
        <w:br/>
        <w:t xml:space="preserve">Having regard to the notification file submitted in full to the concentrations service of the Competition Authority on December 4, 2009, regarding the acquisition by Bull SA of subsidiaries and sub-subsidiaries of Crescendo Industries;  </w:t>
        <w:br/>
        <w:t xml:space="preserve">Having regard to the memorandum of understanding formalizing the concentration operation duly signed by the parties on December 2, 2009;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Bull SA is the holding company of the Bull group, which is an international player in the IT sector, particularly active in the public sector and in the sectors of health, financial services, telecommunications, industry, and defense. The Bull group markets various IT infrastructure products: high-performance computing, computer servers, storage solutions, and IT security solutions. It is present in the IT services sector through consulting, integration, outsourcing, or services related to networks and their security. In 2008, the Bull group achieved a total worldwide turnover excluding taxes of 1.1 billion euros, of which 685 million euros were in France.  </w:t>
        <w:br/>
        <w:t>2. Crescendo Industries, the holding company of the Crescendo group, is a player in IT services. Crescendo Industries holds four subsidiaries, namely Amesys Conseil Montpellier, Elexo, Amesys SAS, and Amesys Conseil, which themselves hold several subsidiaries, the main ones being Amesys International and Amesys RSS.</w:t>
      </w:r>
    </w:p>
    <w:p>
      <w:r>
        <w:t xml:space="preserve">3. The contemplated transaction, formalized by a memorandum of understanding dated December 2, 2009, involves the acquisition by Bull SA from Crescendo Industries of 100% of the capital and voting rights of the companies Amesys Conseil Montpellier, Elexo, Amesys SAS, and Amesys Conseil, and certain of their subsidiaries, namely Amesys International, Amesys RSS, Artware Benelux, Crescendo Gmbh, Amesys Canada Inc., and Amesys Switzerland. These subsidiaries design and manufacture high-tech products and solutions applied to security and critical systems, and provide various services and consulting, particularly in the sectors of transportation, defense and aeronautics, telecommunications, energy, and security. In 2008, the companies and subsidiaries being sold achieved a total turnover excluding taxes of 92 million euros, of which 73 million euros were in France.  </w:t>
        <w:br/>
        <w:t>4. As it constitutes an exclusive takeover, the present operation constitutes a concentration operation within the meaning of Article L.430-1 of the Commercial Code. Given the turnover of the concerned companies, the present operation does not have a community dimension. However, the thresholds provided for in I of Article L.430-2 of the Commercial Code are exceeded. The proposed operation therefore falls within the scope of Articles L.430-3 and following of the Commercial Code relating to economic concentration.</w:t>
      </w:r>
    </w:p>
    <w:p>
      <w:r>
        <w:t xml:space="preserve">II. The relevant markets  </w:t>
        <w:br/>
        <w:t xml:space="preserve">A. THE PRODUCT MARKET: IT SERVICES  </w:t>
        <w:br/>
        <w:t xml:space="preserve">5. The parties are simultaneously present in the IT services sector. The competition authorities, both French and community, have already had the opportunity to rule on the delineation of relevant markets in this sector, while leaving the question open.  </w:t>
        <w:br/>
        <w:t>6. The authorities have thus identified, within the market for IT services, seven functional categories of services: (i) overall management services, (ii) business management services, (iii) software development and integration, (iv) consulting, (v) software maintenance and logistical support, (vi) hardware maintenance and logistical support, and (vii) teaching and training.</w:t>
      </w:r>
    </w:p>
    <w:p>
      <w:r>
        <w:t xml:space="preserve">7. Different alternative or complementary segmentations have also been considered according to:  </w:t>
        <w:br/>
        <w:t xml:space="preserve">- the type of clientele, SMEs / SMIs or large accounts;  </w:t>
        <w:br/>
        <w:t xml:space="preserve">- the types of information and communication systems: management application systems, scientific technical industrial embedded application systems, generic application systems, IT infrastructure systems, communication and enterprise network infrastructure systems;  </w:t>
        <w:br/>
        <w:t xml:space="preserve">- the sector of activity: thus, the following ten segments have been distinguished, (i) communications, (ii) education, (iii) energy and local networks, (iv) financial services, (v) public sector, (vi) health, (vii) industry, (viii) commerce and distribution, (ix) services, and (x) transport.  </w:t>
        <w:br/>
        <w:t xml:space="preserve">8. There is no reason to challenge these segmentations in the context of the present operation.  </w:t>
        <w:br/>
        <w:t xml:space="preserve">9. The activities of the parties to the operation overlap in five of the seven functional categories defined above: the segments of consulting, development and integration, overall management services, software maintenance, as well as in teaching and training.  </w:t>
        <w:br/>
        <w:t>10. Furthermore, the parties are simultaneously active in both the SME/SMI segment and the large accounts segment. They both market IT infrastructure systems and communication and enterprise network infrastructure systems. Finally, they are simultaneously active in the sectors of communications, energy and local networks, financial services, industry, services, and transport.</w:t>
      </w:r>
    </w:p>
    <w:p>
      <w:r>
        <w:t xml:space="preserve">B. THE GEOGRAPHICAL MARKET  </w:t>
        <w:br/>
        <w:t xml:space="preserve">11. The competition authorities have, on several occasions, held that the markets for IT services are of national dimension, notably due to the necessity for providers of these services to communicate regularly in the language of their clients and to maintain a relative proximity to them. However, they have noted a certain internationalization of supply and demand.  </w:t>
        <w:br/>
        <w:t>12. In this case, the competitive analysis will be conducted at the national level.</w:t>
      </w:r>
    </w:p>
    <w:p>
      <w:r>
        <w:t xml:space="preserve">III. The competitive analysis  </w:t>
        <w:br/>
        <w:t>13. As a preliminary point, it can be noted that, in the French market for IT services, across all types of services, the parties estimated their market shares at [0-5]% for the Bull group and [0-5]% for the target.</w:t>
      </w:r>
    </w:p>
    <w:p>
      <w:r>
        <w:rPr>
          <w:b/>
        </w:rPr>
        <w:t>[Pages 4–4]</w:t>
      </w:r>
    </w:p>
    <w:p>
      <w:r>
        <w:t xml:space="preserve">14. More specifically, in the five functional categories of services in which the parties are simultaneously present, their combined market share never exceeds [0-5]%. Furthermore, in these five segments where their activities overlap, it should be noted that there are numerous competitors such as the large groups IBM, Capgemini, Atos Origin, and Accenture.  </w:t>
        <w:br/>
        <w:t xml:space="preserve">15. In the segment of IT services for large accounts, the market share of the parties will not exceed [0-5]%. It will not exceed [0-5]% in the segment of SMEs and SMIs.  </w:t>
        <w:br/>
        <w:t xml:space="preserve">16. In the segment of IT infrastructure systems, and that of communication and enterprise network infrastructure systems, the market share of the new entity will be less than [0-5]%.  </w:t>
        <w:br/>
        <w:t xml:space="preserve">17. In the segments of IT services provided in the sectors of communications, energy and local networks, financial services, industry, services, and transport, the market share of the new entity will be, at most, [0-5]%.  </w:t>
        <w:br/>
        <w:t xml:space="preserve">18. Given these elements, the contemplated transaction is not likely to harm competition in the relevant markets.  </w:t>
        <w:br/>
        <w:t xml:space="preserve">DECIDES  </w:t>
        <w:br/>
        <w:t xml:space="preserve">Sole Article: The transaction notified under number 09-0129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