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https://www.autoritedelaconcurrence.fr/fr/decision-de-controle-des-concentrations/relative-lacquisition-par-la-societe-centrale-automobile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11-DCC-61 of April 27, 2011  </w:t>
        <w:br/>
        <w:t xml:space="preserve">regarding the acquisition by the company Centrale Automobile Strasbourg  </w:t>
        <w:br/>
        <w:t xml:space="preserve">of the company Automobiles Bruno Creton and two business assets  </w:t>
        <w:br/>
        <w:t xml:space="preserve">operated by the company Montcornet Auto  </w:t>
        <w:br/>
        <w:t xml:space="preserve">The Competition Authority,  </w:t>
        <w:br/>
        <w:t xml:space="preserve">Having regard to the complete notification file submitted to the mergers department on March 31, 2011,  </w:t>
        <w:br/>
        <w:t xml:space="preserve">concerning the acquisition by the company Centrale Automobile Strasbourg of the company Automobiles  </w:t>
        <w:br/>
        <w:t xml:space="preserve">Bruno Creton and two business assets operated by the company Montcornet Auto;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company Centrale Automobile Strasbourg operates a network of 38 car dealerships  </w:t>
        <w:br/>
        <w:t xml:space="preserve">(Fiat, Opel, Renault, Dacia, Toyota, Nissan, Honda, Volvo, Saab, and Hyundai) in several  </w:t>
        <w:br/>
        <w:t xml:space="preserve">departments in the East. The notified operation consists of the exclusive control by the  </w:t>
        <w:br/>
        <w:t xml:space="preserve">company Centrale Automobile Strasbourg of the company Automobiles Bruno Creton SA,  </w:t>
        <w:br/>
        <w:t xml:space="preserve">operating two Peugeot brand car dealerships in Prix les Mézières (08) and Sedan  </w:t>
        <w:br/>
        <w:t xml:space="preserve">(08), and two Peugeot brand car dealership business assets operated  </w:t>
        <w:br/>
        <w:t xml:space="preserve">by the company Montcornet Auto in Hirson (02) and Montcornet (02).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have a  </w:t>
        <w:br/>
        <w:t xml:space="preserve">community dimension. On the other hand, the retail control thresholds mentioned  </w:t>
        <w:br/>
        <w:t xml:space="preserve">in point II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11-0058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