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https://www.autoritedelaconcurrence.fr/fr/decision-de-controle-des-concentrations/relative-lacquisition-par-la-societe-codi-france-de-cinq</w:t>
      </w:r>
    </w:p>
    <w:p>
      <w:r>
        <w:t>Pages translated : 5</w:t>
      </w:r>
    </w:p>
    <w:p/>
    <w:p>
      <w:r>
        <w:rPr>
          <w:b/>
        </w:rPr>
        <w:t>[Pages 1–3]</w:t>
      </w:r>
    </w:p>
    <w:p>
      <w:r>
        <w:t xml:space="preserve">FRENCH REPUBLIC  </w:t>
        <w:br/>
        <w:t xml:space="preserve">Decision No. 11-DCC-181 of December 19, 2011  </w:t>
        <w:br/>
        <w:t>regarding the acquisition by Codi-France of five business assets from the Carrefour group</w:t>
      </w:r>
    </w:p>
    <w:p>
      <w:r>
        <w:t xml:space="preserve">The Competition Authority,  </w:t>
        <w:br/>
        <w:t xml:space="preserve">Having regard to the notification file submitted in full to the merger service on November 17, 2011, regarding the acquisition by Codi-France from the Carrefour group of five business assets, formalized by a transfer deed dated July 28, 2011, and by transfer agreements dated September 2, 2011;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Codi-France is a simplified joint-stock company wholly controlled by Colruyt France. The latter is itself controlled by Ets Fr. Colruyt, a public limited company under Belgian law that is the parent company of a group of companies active in food distribution. In France, Codi-France manages a portfolio of […] supermarkets under the Colruyt, Coccinelle, Codi-Marché brands, […] convenience stores under the Coccimarket and Panier Sympa brands, and […] cash &amp; carry stores under the Codi Cash brand.  </w:t>
        <w:br/>
        <w:t xml:space="preserve">2. The Carrefour group is active in food distribution. In France, it operates hypermarkets under the Carrefour and Champion brands, and supermarkets under the Champion and Carrefour Market brands. It also operates convenience stores under the Carrefour City, Shopi, 8 à huit, Marché Plus, Sherpa, and Proxi brands.  </w:t>
        <w:br/>
        <w:t xml:space="preserve">3. The notified operation consists of the acquisition by Codi-France, from the Carrefour group, of five supermarkets operated under the Carrefour Market brand and located in Saint-Calais (72), Romorantin-Lanthenay (41), Selles-sur-Cher (41), Combronde (63), and Saint-Satur (18) (together, the "target business assets"). As it results in a takeover by Codi-France of business assets belonging to the Carrefour group, the notified operation constitutes a concentration within the meaning of Article L. 430-1 of the Commercial Code.  </w:t>
        <w:br/>
        <w:t>4. The companies concerned together achieve a total worldwide turnover of more than 75 million (Ets Fr. Colruyt: 7.3 billion euros for the fiscal year ending March 31, 2011; target business assets: 28.1 million euros for the 2010 fiscal year). Each achieves in France in the retail sector a turnover exceeding 15 million euros (Ets Fr. Colruyt: 784 million euros for the fiscal year ending March 31, 2011; target business assets: 28.1 million euros for the 2010 fiscal year). Given these turnovers, the operation does not have a Community dimension. However, the thresholds for control relating to retail trade mentioned in point II of Article L. 430-2 of the Commercial Code are exceeded.</w:t>
      </w:r>
    </w:p>
    <w:p>
      <w:r>
        <w:t xml:space="preserve">II. Delimitation of relevant markets  </w:t>
        <w:br/>
        <w:t>5. According to the consistent practice of national and Community competition authorities, two categories of markets can be delineated in the food distribution sector. These are, on the one hand, "downstream" markets of a local dimension, which bring together retail companies and consumers for the sale of consumer goods, and, on the other hand, "upstream" markets for supplying retail companies with everyday consumer goods, of a national dimension.</w:t>
      </w:r>
    </w:p>
    <w:p>
      <w:r>
        <w:t xml:space="preserve">A. DOWNSTREAM MARKETS OF FOOD-ORIENTED RETAIL DISTRIBUTION  </w:t>
        <w:br/>
        <w:t xml:space="preserve">1. THE MARKETS FOR SERVICES  </w:t>
        <w:br/>
        <w:t xml:space="preserve">6. Regarding the retail sale of everyday consumer goods, both Community and national competition authorities have distinguished six categories of trade using several criteria, including store size, sales techniques, accessibility, the nature of the service provided, and the range of products offered: (i) hypermarkets, (ii) supermarkets, (iii) specialized trade, (iv) small retail trade, (v) large discounters, (vi) mail order sales.  </w:t>
        <w:br/>
        <w:t xml:space="preserve">7. Supermarkets are usually defined as food-oriented stores with a legal sales area of less than 2,500 m² and greater than 400 m².  </w:t>
        <w:br/>
        <w:t>8. In this case, the stores concerned by the operation occupy a sales area of 1,000 m² (business asset located in Saint-Calais), 997 m² (Romorantin-Lanthenay), 945 m² (Combronde), 1,120 m² (Selles-sur-Cher), and 1,657 m² (Saint Satur). They therefore fall into the category of supermarkets.</w:t>
      </w:r>
    </w:p>
    <w:p>
      <w:r>
        <w:t xml:space="preserve">2. GEOGRAPHICAL DELIMITATION  </w:t>
        <w:br/>
        <w:t xml:space="preserve">9. In its recent decisions relating to operations concerning hypermarkets or supermarkets, the Competition Authority has reiterated that depending on the size of the stores concerned, the conditions of competition should be assessed in two different areas:  </w:t>
        <w:br/>
        <w:t xml:space="preserve">- a first market where the demand of consumers from an area meets the supply of hypermarkets to which they have access within less than 30 minutes by car and which are, from their point of view, substitutable with each other;  </w:t>
        <w:br/>
        <w:t xml:space="preserve">- a second market where the demand of consumers meets the supply of supermarkets and equivalent forms of commerce located within less than 15 minutes of travel time by car. These latter forms of commerce may include, in addition to supermarkets, hypermarkets located near consumers and discount stores.  </w:t>
        <w:br/>
        <w:t xml:space="preserve">10. Other criteria may nevertheless be taken into account to assess the impact of a concentration on the competitive situation in retail distribution markets, which may lead to refining the usual delimitations presented above.  </w:t>
        <w:br/>
        <w:t>11. In this case, as the stores concerned fall into the category of supermarkets, the competitive analysis will be conducted solely on the market including supermarkets and equivalent forms of commerce located within a 15-minute radius around each point of sale.</w:t>
      </w:r>
    </w:p>
    <w:p>
      <w:r>
        <w:t xml:space="preserve">B. UPSTREAM MARKETS OF SUPPLY  </w:t>
        <w:br/>
        <w:t xml:space="preserve">12. Regarding supply markets, the European Commission has recognized the existence of markets of a national dimension by major product groups, a delimitation followed by national authorities.  </w:t>
        <w:br/>
        <w:t>13. There is no reason to challenge this delimitation in the context of the present operation.</w:t>
      </w:r>
    </w:p>
    <w:p>
      <w:r>
        <w:rPr>
          <w:b/>
        </w:rPr>
        <w:t>[Pages 4–5]</w:t>
      </w:r>
    </w:p>
    <w:p>
      <w:r>
        <w:t xml:space="preserve">III. Competitive Analysis  </w:t>
        <w:br/>
        <w:t xml:space="preserve">A. DOWNSTREAM MARKET OF FOOD-ORIENTED RETAIL DISTRIBUTION  </w:t>
        <w:br/>
        <w:t xml:space="preserve">14. The operation does not result in any overlap of activity in the markets comprising supermarkets and equivalent retail formats located within a 15-minute drive catchment area around the stores in Saint-Calais and Combronde, where Colruyt is currently absent.  </w:t>
        <w:br/>
        <w:t xml:space="preserve">15. In the market comprising supermarkets and equivalent retail formats located within a 15-minute drive catchment area around the store in Romorantin-Lanthenay, all stores under the Colruyt group brands represent [5-10]% of the sales area (including [5-10]% for the target store). Following the operation, the Colruyt group will face competition from two hypermarkets of the Leclerc and Carrefour groups, representing respectively [30-40]% and [20-30]% of the sales area in the zone, as well as numerous supermarkets operated notably under the Super U brands ([10-20]%), Lidl ([5-10]%), and Ed ([0-5]%).  </w:t>
        <w:br/>
        <w:t xml:space="preserve">16. In the catchment area corresponding to the store in Selles-sur-Cher, the stores operated under the Colruyt group brands will represent [10-20]% of the sales area (including [10-20]% for the target store). The Colruyt group will thus face competition from several supermarkets of the Système U group ([70-80]% market share) and numerous points of sale operated notably under the Aldi ([5-10]%), Vival ([0-5%]), and Carrefour ([0-5%]) brands.  </w:t>
        <w:br/>
        <w:t xml:space="preserve">17. In the catchment area corresponding to the store in Saint-Satur, all stores under the Colruyt group brands represent [10-20]% of the sales area (including [5-10]% for the target store). The Colruyt group will face competition from numerous supermarkets operated under the Carrefour ([30-40]%), Auchan ([30-40]%), Aldi ([0-5]%), Lidl ([0-5%]), and Leader Price ([5-10%]) brands.  </w:t>
        <w:br/>
        <w:t xml:space="preserve">18. The operation is therefore not likely to harm competition in the markets concerned.  </w:t>
        <w:br/>
        <w:t xml:space="preserve">B. UPSTREAM SUPPLY MARKETS  </w:t>
        <w:br/>
        <w:t xml:space="preserve">19. Regarding the upstream supply markets, the operation, which only concerns five supermarket-type stores, is not likely to significantly strengthen the purchasing power of the Colruyt group, across all products as well as by major product groups.  </w:t>
        <w:br/>
        <w:t>20. Consequently, the operation is not likely to harm competition in either the downstream market or the upstream supply market.</w:t>
      </w:r>
    </w:p>
    <w:p>
      <w:r>
        <w:t xml:space="preserve">DECIDES  </w:t>
        <w:br/>
        <w:t xml:space="preserve">Single Article: The operation notified under number 11-0174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