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https://www.autoritedelaconcurrence.fr/fr/decision-de-controle-des-concentrations/relative-lacquisition-par-la-societe-codi-france-dun-fonds</w:t>
      </w:r>
    </w:p>
    <w:p>
      <w:r>
        <w:t>Pages translated : 5</w:t>
      </w:r>
    </w:p>
    <w:p/>
    <w:p>
      <w:r>
        <w:rPr>
          <w:b/>
        </w:rPr>
        <w:t>[Pages 1–3]</w:t>
      </w:r>
    </w:p>
    <w:p>
      <w:r>
        <w:t xml:space="preserve">FRENCH REPUBLIC  </w:t>
        <w:br/>
        <w:t xml:space="preserve">Decision No. 12-DCC-150 of October 22, 2012  </w:t>
        <w:br/>
        <w:t xml:space="preserve">regarding the acquisition by Codi-France  </w:t>
        <w:br/>
        <w:t xml:space="preserve">of a business asset from the Carrefour group  </w:t>
        <w:br/>
        <w:t xml:space="preserve">The Competition Authority,  </w:t>
        <w:br/>
        <w:t xml:space="preserve">Having regard to the notification file submitted in full to the mergers service on September 25, 2012, regarding the acquisition by Codi-France of a business asset under the Champion brand, formalized by a business transfer agreement dated August 30, 2012;  </w:t>
        <w:br/>
        <w:t xml:space="preserve">Having regard to Book IV of the Commercial Code relating to price freedom and competition, and in particular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1. Codi-France is a simplified joint-stock company wholly controlled by Colruyt France. The latter is itself controlled by Ets Fr. Colruyt, a public limited company under Belgian law, which is the parent company of a group of companies active in food distribution. In France, Codi-France manages a portfolio of […] supermarkets under the Colruyt, Coccinelle, Codi-Marché brands, and […] convenience stores under the Coccimarket and Panier Sympa brands.  </w:t>
        <w:br/>
        <w:t xml:space="preserve">2. The Carrefour group is active in food distribution. In France, Carrefour operates hypermarkets and supermarkets under the Champion, Carrefour Planet, and Carrefour Market brands. It also operates convenience stores under the Carrefour City, Carrefour Contact, Shopi, 8 à Huit, Marché plus, and Proxi brands.  </w:t>
        <w:br/>
        <w:t>3. The notified operation consists of the acquisition by Codi-France, from the Carrefour group, of a 1,100 m² supermarket operated under the Champion brand and located in Le Thillot (88) (hereinafter, the "target business"). As it results in Codi-France gaining control over a business asset belonging to the Carrefour group, the notified operation constitutes a concentration within the meaning of Article L. 430-1 of the Commercial Code.</w:t>
      </w:r>
    </w:p>
    <w:p>
      <w:r>
        <w:t xml:space="preserve">Furthermore, this operation follows the acquisition by Codi-France from Carrefour of five business assets located in Saint-Calais (72), Romorantin-Lanthenay (41), Selles-sur-Cher (41), Saint-Satur (18), and Combronde (63) (hereinafter the "five business assets already acquired"), during the second half of 2011 and the first half of 2012. These acquisitions were authorized by the Competition Authority on December 19, 2011.  </w:t>
        <w:br/>
        <w:t xml:space="preserve">4. The acquisitions already completed and the one envisaged constitute a concentration within the meaning of Article L. 430-1 of the Commercial Code. Indeed, in accordance with Article 5, paragraph 2, second subparagraph, of Regulation No. 139/2004 to which Article L. 430-2 of the Commercial Code refers, "[…] two or more transactions within the meaning of the first subparagraph that have taken place over a period of two years between the same persons or companies are to be considered as a single concentration occurring on the date of the last transaction." Under these conditions, given that less than two years must elapse between these two operations, it should be considered as a single operation.  </w:t>
        <w:br/>
        <w:t xml:space="preserve">5. The concerned companies together achieved a consolidated worldwide turnover excluding taxes of more than 75 million euros in the last closed financial year (Ets Fr. Colruyt: […] euros for the financial year ending March 31, 2012; six business assets: […] euros for the year 2011, of which […] euros for the target business). Each of the two parties to the concentration generates in France in the retail sector a turnover exceeding 15 million euros (Ets Fr. Colruyt: […] euros for the financial year ending March 31, 2011; six business assets: […] euros for the year 2011, of which […] for the target business). Given these turnover figures, the operation does not have a community dimension. On the other hand, the control thresholds related to retail mentioned in point II of Article L. 430-2 of the Commercial Code are exceeded.  </w:t>
        <w:br/>
        <w:t xml:space="preserve">II. Definition of relevant markets  </w:t>
        <w:br/>
        <w:t xml:space="preserve">6. The parties are simultaneously active in the food distribution sector. Given that the five business assets already acquired were subject to a decision by the Competition Authority in December 2011 and that the target store is not located in the same catchment area, the analysis will focus solely on the new acquisition.  </w:t>
        <w:br/>
        <w:t xml:space="preserve">7. According to the consistent practice of national and community competition authorities, two categories of markets can be delineated in the food distribution sector. These are, on the one hand, "downstream" markets, of local dimension, which bring together retail businesses and consumers for the sale of consumer goods, and, on the other hand, "upstream" markets for the supply of retail businesses with everyday consumer goods, of national dimension.  </w:t>
        <w:br/>
        <w:t xml:space="preserve">A. DOWNSTREAM MARKETS OF FOOD-ORIENTED RETAIL DISTRIBUTION  </w:t>
        <w:br/>
        <w:t xml:space="preserve">1. SERVICE MARKETS  </w:t>
        <w:br/>
        <w:t xml:space="preserve">8. Regarding the retail sale of everyday consumer goods, competition authorities, both at the community and national levels, have distinguished six categories of commerce using several criteria, including store size, sales techniques, accessibility, the nature of the service provided, and the range of products offered: (i) hypermarkets, (ii) supermarkets, (iii) specialized trade, (iv) small retail trade, (v) maxi discounters, (vi) mail order sales.  </w:t>
        <w:br/>
        <w:t xml:space="preserve">9. Supermarkets are usually defined as food-oriented stores with a legal sales area of less than 2,500 m² and greater than 400 m².  </w:t>
        <w:br/>
        <w:t xml:space="preserve">10. In this case, the store concerned by the operation has a sales area of 1,100 m². It therefore falls into the category of supermarkets.  </w:t>
        <w:br/>
        <w:t xml:space="preserve">2. GEOGRAPHICAL DELIMITATION  </w:t>
        <w:br/>
        <w:t xml:space="preserve">11. The Competition Authority has repeatedly stated that depending on the size of the stores concerned, the conditions of competition should be assessed in two different areas:  </w:t>
        <w:br/>
        <w:t xml:space="preserve">- a first market where the demand from consumers in an area meets the supply of hypermarkets that they can access within less than 30 minutes of travel by car and which are, from their perspective, substitutable for each other;  </w:t>
        <w:br/>
        <w:t xml:space="preserve">- a second market where the demand from consumers meets the supply of supermarkets and equivalent forms of commerce located within 15 minutes of travel time by car. These latter forms of commerce may include, in addition to supermarkets, hypermarkets located near consumers and discount stores.  </w:t>
        <w:br/>
        <w:t xml:space="preserve">12. Other criteria may nevertheless be taken into account to assess the impact of a concentration on the competitive situation in retail distribution markets, which may lead to refining the usual delimitations presented above.  </w:t>
        <w:br/>
        <w:t>13. In this case, since the store concerned falls into the category of supermarkets, the competitive analysis will be conducted solely on the market including supermarkets and equivalent forms of commerce located within a 15-minute radius around each point of sale.</w:t>
      </w:r>
    </w:p>
    <w:p>
      <w:r>
        <w:rPr>
          <w:b/>
        </w:rPr>
        <w:t>[Pages 4–5]</w:t>
      </w:r>
    </w:p>
    <w:p>
      <w:r>
        <w:t xml:space="preserve">B. UPSTREAM SUPPLY MARKETS  </w:t>
        <w:br/>
        <w:t xml:space="preserve">14. Regarding the supply markets, the European Commission has identified the existence of markets of national dimension by major product groups, a delineation followed by national authorities.  </w:t>
        <w:br/>
        <w:t xml:space="preserve">15. There is no reason to challenge this delineation on the occasion of the present operation.  </w:t>
        <w:br/>
        <w:t xml:space="preserve">III. Competitive Analysis  </w:t>
        <w:br/>
        <w:t xml:space="preserve">A. DOWNSTREAM MARKET OF FOOD-ORIENTED DISTRIBUTION  </w:t>
        <w:br/>
        <w:t xml:space="preserve">16. The operation does not result in any overlap of activity in the market comprising supermarkets and equivalent forms of commerce located within a 15-minute drive trade area around the target business, where Colruyt is currently absent.  </w:t>
        <w:br/>
        <w:t xml:space="preserve">17. In this area, the target business accounts for [10-20]% of the retail space and faces competition from the Intermarché and Aldi groups, representing [50-60]% and [20-30]% of the retail space in the area, respectively, as well as from a Lidl-branded supermarket ([10-20]%).  </w:t>
        <w:br/>
        <w:t xml:space="preserve">18. Therefore, the operation is not likely to harm competition in the relevant markets.  </w:t>
        <w:br/>
        <w:t xml:space="preserve">B. UPSTREAM SUPPLY MARKETS  </w:t>
        <w:br/>
        <w:t xml:space="preserve">19. Regarding the upstream supply markets, the operation, considered as the acquisition of six retail stores generating a total turnover of […] euros, is not likely to significantly strengthen the purchasing power of the Colruyt group, across all products as well as by major product groups. Consequently, the operation is not likely to harm competition both in the downstream market and in the upstream supply market.  </w:t>
        <w:br/>
        <w:t xml:space="preserve">5 See the Commission decisions M. 1221 Rewe/Meinl of February 3, 1999, M.1684 Carrefour/Promodès of January 25, 2000, and M. 2115 Carrefour/GB of September 28, 2000.  </w:t>
        <w:br/>
        <w:t xml:space="preserve">6 See in particular the decisions of the minister in the sector, C2005-98, Carrefour/Penny Market of November 10, 2005, C2006-15 Carrefour/Groupe Hamon of April 14, 2006, C2007-172 concerning the creation of the joint venture Plamidis of February 13, 2008, and C2008-32 Carrefour/SAGC of July 9, 2008.  </w:t>
        <w:br/>
        <w:t>4</w:t>
      </w:r>
    </w:p>
    <w:p>
      <w:r>
        <w:t xml:space="preserve">DECIDES  </w:t>
        <w:br/>
        <w:t xml:space="preserve">Sole Article: The operation notified under number 12-159 is authorized.  </w:t>
        <w:br/>
        <w:t xml:space="preserve">The President,  </w:t>
        <w:br/>
        <w:t xml:space="preserve">Bruno Lasserre  </w:t>
        <w:br/>
        <w:t xml:space="preserve">© Competition Authority  </w:t>
        <w:br/>
        <w:t>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