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https://www.autoritedelaconcurrence.fr/fr/decision-de-controle-des-concentrations/relative-lacquisition-par-la-societe-csf-de-la-societe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11-DCC-35 of March 8, 2011  </w:t>
        <w:br/>
        <w:t xml:space="preserve">regarding the acquisition by the company C.S.F. of the company Ajaccio Distribution  </w:t>
        <w:br/>
        <w:t xml:space="preserve">The Competition Authority,  </w:t>
        <w:br/>
        <w:t xml:space="preserve">Having regard to the complete notification file sent to the mergers department on February 15, 2011, concerning the acquisition of the company Ajaccio Distribution by the company C.S.F., formalized by a synallagmatic promise of sale dated December 14, 2010;  </w:t>
        <w:br/>
        <w:t xml:space="preserve">Having regard to Book IV of the Commercial Code relating to the freedom of prices and competition, and in particular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Ajaccio Distribution, which operates a business under the Carrefour Market brand in Borgo (20290), by the company C.S.F., a subsidiary of the Carrefour group, and constitutes a concentration operation within the meaning of Article L. 430-1 of the Commercial Code. Given the turnover generated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11-0027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