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https://www.autoritedelaconcurrence.fr/fr/decision-de-controle-des-concentrations/relative-lacquisition-par-la-societe-ecl-des-fonds-de</w:t>
      </w:r>
    </w:p>
    <w:p>
      <w:r>
        <w:t>Pages translated : 2</w:t>
      </w:r>
    </w:p>
    <w:p/>
    <w:p>
      <w:r>
        <w:rPr>
          <w:b/>
        </w:rPr>
        <w:t>[Pages 1–2]</w:t>
      </w:r>
    </w:p>
    <w:p>
      <w:r>
        <w:t xml:space="preserve">FRENCH REPUBLIC  </w:t>
        <w:br/>
        <w:t xml:space="preserve">Decision No. 19-DCC-116 of June 21, 2019  </w:t>
        <w:br/>
        <w:t xml:space="preserve">regarding the acquisition by the company ECL of the business assets  </w:t>
        <w:br/>
        <w:t xml:space="preserve">Mercedes Benz of Lons-le-Saunier and Mâcon and Mercedes Benz, Smart,  </w:t>
        <w:br/>
        <w:t xml:space="preserve">Jeep, and Alfa Romeo of Bourg-en-Bresse  </w:t>
        <w:br/>
        <w:t xml:space="preserve">The Competition Authority,  </w:t>
        <w:br/>
        <w:t xml:space="preserve">Having regard to the complete notification file submitted to the mergers department on May 22, 2019,  </w:t>
        <w:br/>
        <w:t xml:space="preserve">concerning the acquisition by the company ECL of the business assets Mercedes Benz of Lons-le-Saunier and Mâcon and Mercedes Benz, Smart, Jeep, and Alfa Romeo of Bourg-en-Bresse, held by the company e-MB01 and formalized by a bilateral promise of sale dated May 3, 2019.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by the company ECL of three business assets held by the company e-MB01, which operate three car dealerships of the brands Mercedes Benz, Smart, Jeep, and Alfa Romeo, located in Bourg-en-Bresse (01), Lons-le-Saunier (39), and Mâcon (71).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19-120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