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https://www.autoritedelaconcurrence.fr/fr/decision-de-controle-des-concentrations/relative-lacquisition-par-la-societe-gn-automobiles-brest</w:t>
      </w:r>
    </w:p>
    <w:p>
      <w:r>
        <w:t>Pages translated : 4</w:t>
      </w:r>
    </w:p>
    <w:p/>
    <w:p>
      <w:r>
        <w:rPr>
          <w:b/>
        </w:rPr>
        <w:t>[Pages 1–3]</w:t>
      </w:r>
    </w:p>
    <w:p>
      <w:r>
        <w:t>FRENCH REPUBLIC</w:t>
        <w:br/>
        <w:t>Decision No. 13-DCC-41 of March 28, 2013</w:t>
        <w:br/>
        <w:t>regarding the acquisition by GN Automobiles Brest of a business</w:t>
        <w:br/>
        <w:t>of automobile distribution</w:t>
        <w:br/>
        <w:t>The Competition Authority,</w:t>
        <w:br/>
        <w:t>Having regard to the notification file sent to the merger service on January 21, 2013, and declared complete on February 21, 2013, concerning the acquisition by GN Automobiles Brest, a subsidiary of the Financière Maclal group, of a business from the Société Commerciale Automobile, a subsidiary of Peugeot, formalized by a synallagmatic promise of sale of the business signed on December 14, 2012;</w:t>
        <w:br/>
        <w:t>Having regard to Book IV of the Commercial Code relating to price freedom and competition, and in particular Articles L. 430-1 to L. 430-7;</w:t>
        <w:br/>
        <w:t>Having regard to the supplementary elements transmitted by the parties during the investigation;</w:t>
        <w:br/>
        <w:t>Adopts the following decision:</w:t>
        <w:br/>
        <w:t>I. The companies concerned and the operation</w:t>
        <w:br/>
        <w:t>1. GN Automobiles Brest is a company whose capital is wholly owned by Financière Maclal, a company at the head of a group of subsidiaries active in the distribution of Peugeot brand motor vehicles, spare parts, and vehicle repair and maintenance services, through dealerships located in the department of Finistère (29). GN Automobiles Brest was established for the needs of the operation.</w:t>
        <w:br/>
        <w:t>2. The Société Commerciale Automobile is a simplified joint-stock company owned by Automobiles Peugeot, which is itself exclusively controlled by Peugeot SA, the head of the PSA group. The main activity of the Société Commerciale Automobile is the marketing and distribution of Peugeot brand vehicles. The PSA group, primarily active in the construction, distribution, maintenance, and repair of motor vehicles, is present in more than 140 countries with a number of vehicles sold exceeding 3 million in 2009.</w:t>
        <w:br/>
        <w:t>3. The Société Commerciale Automobile is active in the sale of new and used vehicles, in the sale of spare parts, and in repair and maintenance services. The Société Commerciale Automobile operates, among other things, a business of automobile dealerships at two different sites located in Brest and Landerneau in the department of Finistère (29).</w:t>
        <w:br/>
        <w:t>4. The transaction, formalized by a synallagmatic promise of sale of a business dated December 14, 2012, involves the acquisition by GN Automobiles Brest of the establishments located in Brest and Landerneau, currently owned by the Société Commerciale Automobile. As it results in the acquisition of exclusive control of this business by the Financière Maclal group, the notified transaction is a concentration operation within the meaning of Article L.430-1 of the Commercial Code.</w:t>
        <w:br/>
        <w:t>5. The companies concerned together achieve a total worldwide turnover of more than 75 million euros (the Financière Maclal group: 99.8 million euros for the fiscal year ending December 31, 2011; target business: 52.5 million euros for the same fiscal year). At least two of these companies achieve a turnover in France exceeding 15 million euros (Financière Maclal group: 99.8 million euros for the fiscal year ending December 31, 2011; target business: 52.5 million euros for the same fiscal year). Given these turnover figures, the operation does not have a community dimension. However, the control thresholds related to retail trade mentioned in point II of Article L. 430-2 of the Commercial Code are exceeded. This operation is therefore subject to the provisions of Articles L. 430-3 and following of the Commercial Code relating to economic concentration.</w:t>
        <w:br/>
        <w:t>II. Delimitation of relevant markets</w:t>
        <w:br/>
        <w:t>A. DELIMITATION OF PRODUCT AND SERVICE MARKETS</w:t>
        <w:br/>
        <w:t>6. In the automobile distribution sector, decision-making practice distinguishes:</w:t>
        <w:br/>
        <w:t>i. the distribution of new motor vehicles intended for individual customers;</w:t>
        <w:br/>
        <w:t>ii. the distribution of new motor vehicles intended for professional customers;</w:t>
        <w:br/>
        <w:t>iii. the distribution of commercial motor vehicles (notably light utility vehicles);</w:t>
        <w:br/>
        <w:t>iv. the distribution of used motor vehicles;</w:t>
        <w:br/>
        <w:t>v. the distribution of spare parts and automotive accessories;</w:t>
        <w:br/>
        <w:t>vi. the distribution of vehicle maintenance and repair services;</w:t>
        <w:br/>
        <w:t>vii. the distribution of rental services.</w:t>
        <w:br/>
        <w:t>7. There is no need to challenge these delimitations during the examination of the present operation.</w:t>
        <w:br/>
        <w:t>8. The companies concerned are simultaneously present in each of these markets, except for the market for the distribution of rental services.</w:t>
        <w:br/>
        <w:t>1 See in particular decisions No. 09-DCC-01 of the Competition Authority of April 8, 2009, and 10-DCC-23 of March 1, 2010.</w:t>
      </w:r>
    </w:p>
    <w:p>
      <w:r>
        <w:t>B. GEOGRAPHICAL DELIMITATION OF MARKETS</w:t>
        <w:br/>
        <w:t>9. Regarding the retail sale of motor vehicles, new or used, spare parts, and automotive accessories, as well as vehicle maintenance and repair services, decision-making practice adopts a local definition, with the analysis generally conducted at the departmental level.</w:t>
        <w:br/>
        <w:t>10. In the present case, the two establishments being transferred are located in Brest and Landerneau, and the competitive analysis will be conducted on the department of Finistère.</w:t>
        <w:br/>
        <w:t>III. Competitive Analysis</w:t>
        <w:br/>
        <w:t>A. VEHICLE SALES MARKETS</w:t>
        <w:br/>
        <w:t>11. Concerning the calculation of market shares in vehicle sales activities, decision-making practice uses as an indicator the ratio between the vehicle sales made by the parties in the departments concerned by the operation and the total number of vehicle registrations recorded in those same departments by the prefectures.</w:t>
        <w:br/>
        <w:t>12. In the department of Finistère, the position of the Financière Maclal group in the various vehicle sales markets following the operation will be as follows:</w:t>
        <w:br/>
        <w:t>Market Share</w:t>
        <w:br/>
        <w:t>Market Share Financière</w:t>
        <w:br/>
        <w:t>cumulative Market Share</w:t>
        <w:br/>
        <w:t>Maclal</w:t>
        <w:br/>
        <w:t>of establishments transferred</w:t>
        <w:br/>
        <w:t>Distribution of new motor vehicles intended for individual customers 9.6% 3.9% 13.5%</w:t>
        <w:br/>
        <w:t>Distribution of new motor vehicles intended for professional customers 14.5% 8.6% 23%</w:t>
        <w:br/>
        <w:t>Distribution of commercial vehicles 3.4% 5.9% 9.3%</w:t>
        <w:br/>
        <w:t>Distribution of used vehicles 3.4% 2.2% 5.6%</w:t>
        <w:br/>
        <w:t>13. In these markets, the Financière Maclal group will remain in competition with numerous independent dealers of Peugeot and Citroën brands. It will also face</w:t>
      </w:r>
    </w:p>
    <w:p>
      <w:r>
        <w:rPr>
          <w:b/>
        </w:rPr>
        <w:t>[Pages 4–4]</w:t>
      </w:r>
    </w:p>
    <w:p>
      <w:r>
        <w:t>dealers of competing brands, including Renault, Volkswagen, Toyota, Opel, and Ford.</w:t>
      </w:r>
    </w:p>
    <w:p>
      <w:r>
        <w:t xml:space="preserve">14. The transaction is therefore not likely to harm competition in these markets.  </w:t>
        <w:br/>
        <w:t xml:space="preserve">B. MARKETS FOR SPARE PARTS AND MAINTENANCE AND REPAIR SERVICES  </w:t>
        <w:br/>
        <w:t xml:space="preserve">15. Regarding the market for spare parts and the market for repair and maintenance services for motor vehicles, the notifying party estimates that, following the transaction, it will hold a market share in Finistère of approximately 15% (8% for Financière Maclal and 7% for the target business in each of these markets).  </w:t>
        <w:br/>
        <w:t xml:space="preserve">16. Furthermore, in these markets, the acquirer will continue to face competition in Finistère from other independent Peugeot dealers and garages and repairers authorized by this brand. It will also face competition from numerous independent garages and repairers, as well as specialized brands such as Midas, Centres AD, Feu Vert, Speedy, Feu Vert, or Norauto, which may offer consumers identical or equivalent quality spare parts and accessories, as well as maintenance and repair services for motor vehicles similar to those provided by the brand's dealers.  </w:t>
        <w:br/>
        <w:t xml:space="preserve">17. In light of these elements, the transaction is not likely to harm competition.  </w:t>
        <w:br/>
        <w:t xml:space="preserve">DECIDES  </w:t>
        <w:br/>
        <w:t xml:space="preserve">Sole Article: The transaction notified under number 13-007 is authorized.  </w:t>
        <w:br/>
        <w:t xml:space="preserve">The President,  </w:t>
        <w:br/>
        <w:t xml:space="preserve">Bruno Lasserre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