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https://www.autoritedelaconcurrence.fr/fr/decision-de-controle-des-concentrations/relative-lacquisition-par-la-societe-groupe-dubreuil-de</w:t>
      </w:r>
    </w:p>
    <w:p>
      <w:r>
        <w:t>Pages translated : 2</w:t>
      </w:r>
    </w:p>
    <w:p/>
    <w:p>
      <w:r>
        <w:rPr>
          <w:b/>
        </w:rPr>
        <w:t>[Pages 1–2]</w:t>
      </w:r>
    </w:p>
    <w:p>
      <w:r>
        <w:t xml:space="preserve">FRENCH REPUBLIC  </w:t>
        <w:br/>
        <w:t xml:space="preserve">Decision No. 16-DCC-17 of February 10, 2016  </w:t>
        <w:br/>
        <w:t xml:space="preserve">regarding the acquisition by Groupe Dubreuil of two automotive distribution business assets  </w:t>
        <w:br/>
        <w:t xml:space="preserve">The Competition Authority,  </w:t>
        <w:br/>
        <w:t xml:space="preserve">Having regard to the complete notification file submitted to the mergers department on January 22, 2016, concerning the acquisition by Groupe Dubreuil of two automotive distribution business assets, formalized by a letter of intent dated November 27, 2015;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acquisition of two business assets for the distribution of Opel brand motor vehicles, located in the departments of Maine and Loire (49) and Deux-Sèvres (79), by Groupe Dubreuil, which is itself active in the automotive distribution sector in the departments of Eure and Loire (28), Sarthe (72), Maine and Loire (49), Vendée (85), Deux-Sèvres (79), Charente-Maritime (17), Charente (16), Loire-Atlantique (44), and Ille et Vilaine (35). This transaction constitutes a concentration operation within the meaning of Article L. 430-1 of the Commercial Code. Given the turnover achieved by the companies concerned, the transaction does not fall under the jurisdiction of the European Union. However, the retail trade control thresholds mentioned in point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notified transaction under number 15-248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