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https://www.autoritedelaconcurrence.fr/fr/decision-de-controle-des-concentrations/relative-lacquisition-par-la-societe-losange-autos-du</w:t>
      </w:r>
    </w:p>
    <w:p>
      <w:r>
        <w:t>Pages translated : 2</w:t>
      </w:r>
    </w:p>
    <w:p/>
    <w:p>
      <w:r>
        <w:rPr>
          <w:b/>
        </w:rPr>
        <w:t>[Pages 1–2]</w:t>
      </w:r>
    </w:p>
    <w:p>
      <w:r>
        <w:t xml:space="preserve">FRENCH REPUBLIC  </w:t>
        <w:br/>
        <w:t xml:space="preserve">Decision No. 19-DCC-131 of July 5, 2019  </w:t>
        <w:br/>
        <w:t xml:space="preserve">regarding the acquisition by the company Losange Autos of exclusive control over the companies Colin Montrouge and Colin Automobiles SAS  </w:t>
        <w:br/>
        <w:t xml:space="preserve">The Competition Authority,  </w:t>
        <w:br/>
        <w:t xml:space="preserve">Having regard to the notification file submitted in full to the mergers department on May 31, 2019, concerning the acquisition by the company Losange Autos of exclusive control over the companies Colin Montrouge and Colin Automobiles SAS, formalized by a letter of intent dated May 21, 2019;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by the company Losange Autos of the companies Colin Montrouge and Colin Automobiles SAS, which operate car dealerships under the brands Renault and Dacia in Montrouge (92) and Sceaux (92), as well as a body shop in Arcueil (94).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19-135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