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https://www.autoritedelaconcurrence.fr/fr/decision-de-controle-des-concentrations/relative-lacquisition-par-la-societe-ndbm1sa-des-fonds-de</w:t>
      </w:r>
    </w:p>
    <w:p>
      <w:r>
        <w:t>Pages translated : 4</w:t>
      </w:r>
    </w:p>
    <w:p/>
    <w:p>
      <w:r>
        <w:rPr>
          <w:b/>
        </w:rPr>
        <w:t>[Pages 1–3]</w:t>
      </w:r>
    </w:p>
    <w:p>
      <w:r>
        <w:t xml:space="preserve">FRENCH REPUBLIC  </w:t>
        <w:br/>
        <w:t xml:space="preserve">Decision No. 09-DCC-89 of December 29, 2009  </w:t>
        <w:br/>
        <w:t xml:space="preserve">regarding the acquisition by the company NDBM1 SA of the business assets of the companies Générale Automobile Parisienne SAS and Garage du Parc Monceau SAS  </w:t>
        <w:br/>
        <w:t xml:space="preserve">The Competition Authority,  </w:t>
        <w:br/>
        <w:t xml:space="preserve">Having regard to the notification file submitted in full to the concentrations service on December 4, 2009, regarding the acquisition by the company NDBM1 of the business assets of the companies Générale Automobile Parisienne SAS and Garage du Parc Monceau SAS, formalized by synallagmatic promises of sale dated October 28, 2009;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NDBM1 SA is 100% owned by the company Neubauer Distribution SAS. The latter is a simplified joint-stock company owned by the company Groupe Neubauer SA, the parent company of the eponymous group, controlled by individuals. The Neubauer group is active in Ile-de-France in the distribution of new and used vehicles, the sale of spare parts, maintenance, and repair of motor vehicles. In 2008, the Neubauer group achieved a worldwide turnover excluding taxes of 441 million euros, of which 418 million in France.  </w:t>
        <w:br/>
        <w:t>2. The companies Générale Automobile Parisienne SAS (hereinafter "GAP") and Garage du Parc Monceau SAS (hereinafter "GPM") are 100% owned by the company Auto Guadeloupe Investissement SA, a subsidiary of the Loret group. The companies GAP and GPM operate as BMW and MINI car dealerships in Paris. The total turnover excluding taxes of the divested activities amounted in 2008, the last closed financial year, to 51 million euros, almost exclusively generated in France.</w:t>
      </w:r>
    </w:p>
    <w:p>
      <w:r>
        <w:t xml:space="preserve">3. The two synallagmatic promises of sale, signed by the parties on October 28, 2009, respectively commit the companies GAP and GPM to transfer to the company NDBM1 the ownership of the elements of the business assets corresponding to the BMW and MINI concessions operated by said companies in Paris.  </w:t>
        <w:br/>
        <w:t xml:space="preserve">4. Due to the acquisition by the company NDBM1 of the aforementioned business assets, the notified operation constitutes a concentration within the meaning of Article L. 430-1 of the Commercial Code. Given the turnover of the companies concerned, it does not have a Community dimension. However, the control thresholds applicable to retail trade mentioned in II of Article L. 430-2 of the Commercial Code are exceeded. The present operation is therefore subject to the provisions of Articles L. 430-3 and following of the Commercial Code relating to economic concentration.  </w:t>
        <w:br/>
        <w:t xml:space="preserve">II. Delimitation of relevant markets  </w:t>
        <w:br/>
        <w:t xml:space="preserve">A. DELIMITATION OF MARKETS IN TERMS OF PRODUCTS AND SERVICES  </w:t>
        <w:br/>
        <w:t xml:space="preserve">5. In the automotive distribution sector, the decisional practice1 distinguishes:  </w:t>
        <w:br/>
        <w:t xml:space="preserve">- the distribution of new passenger motor vehicles intended for individual customers;  </w:t>
        <w:br/>
        <w:t xml:space="preserve">- the distribution of new passenger motor vehicles intended for professional customers;  </w:t>
        <w:br/>
        <w:t xml:space="preserve">- the distribution of new commercial motor vehicles (notably light utility vehicles);  </w:t>
        <w:br/>
        <w:t xml:space="preserve">- the distribution of used motor vehicles;  </w:t>
        <w:br/>
        <w:t xml:space="preserve">- vehicle rental services;  </w:t>
        <w:br/>
        <w:t xml:space="preserve">- the distribution of spare parts and automotive accessories;  </w:t>
        <w:br/>
        <w:t xml:space="preserve">- the maintenance and repair services of motor vehicles.  </w:t>
        <w:br/>
        <w:t xml:space="preserve">6. There is no need to challenge these delimitations during the examination of the present operation.  </w:t>
        <w:br/>
        <w:t xml:space="preserve">7. The competitive analysis will focus exclusively on the markets where the parties are simultaneously active, namely:  </w:t>
        <w:br/>
        <w:t xml:space="preserve">- the distribution of new passenger motor vehicles intended for individual customers;  </w:t>
        <w:br/>
        <w:t xml:space="preserve">- the distribution of used motor vehicles;  </w:t>
        <w:br/>
        <w:t xml:space="preserve">- the distribution of spare parts and automotive accessories;  </w:t>
        <w:br/>
        <w:t xml:space="preserve">1 Decision of the Competition Authority of August 13, 2009, regarding the acquisition by the Dubreuil group of certain assets of the Société Commerciale Automobile du Poitou; Decision of the Competition Authority of July 24, 2009, regarding the Saint Loises-SCI Ludelise Vire/François Mary Développement operation; Decision of the Competition Authority of June 24, 2009, regarding the Tuppin/GTI operation; Decision of the Competition Authority of April 8, 2009, regarding the Bailly/Pellier operation; Letter from the Minister of Economy dated November 8, 2002, regarding the RFA Nord/Vrale operation.  </w:t>
        <w:br/>
        <w:t>2</w:t>
      </w:r>
    </w:p>
    <w:p>
      <w:r>
        <w:t xml:space="preserve">- the maintenance and repair services of motor vehicles.  </w:t>
        <w:br/>
        <w:t xml:space="preserve">B. GEOGRAPHICAL DELIMITATION OF MARKETS  </w:t>
        <w:br/>
        <w:t xml:space="preserve">8. Regarding the retail sale of motor vehicles, new or used, spare parts, and automotive accessories, as well as the maintenance and repair services of motor vehicles, the decisional practice2 considers a local dimension.  </w:t>
        <w:br/>
        <w:t xml:space="preserve">9. In the present case, the parties are simultaneously active in the department of Seine. The concessions in the Paris region are likely to exert competitive pressure on those located in Paris, thus the competitive analysis in the market for the distribution of new passenger vehicles will be conducted in the department of Seine and the Ile-de-France. In the markets for the distribution of used vehicles, the distribution of spare parts and automotive accessories, and the maintenance and repair services of vehicles, the analysis will be conducted in Ile-de-France.  </w:t>
        <w:br/>
        <w:t xml:space="preserve">III. Competitive analysis  </w:t>
        <w:br/>
        <w:t xml:space="preserve">10. Regarding the calculation of market shares in the distribution of new vehicles, the decisional practice3 uses as an indicator the ratio between the new vehicle sales made by the parties in the departments concerned by the operation and the total registrations of new vehicles recorded in those same departments by the prefectures.  </w:t>
        <w:br/>
        <w:t xml:space="preserve">11. In the market for the distribution of new passenger vehicles intended for individual customers, in the department of Seine, Neubauer's market share after the operation will rise to 11.2% (10.2% for Neubauer and 1% for the target). In the entire Ile-de-France, it will reach 16% (10% for Neubauer and 5.6% for the target). Numerous competing dealers are present in the Paris region.  </w:t>
        <w:br/>
        <w:t xml:space="preserve">12. In the market for the distribution of used vehicles, in Ile-de-France, the operation raises Neubauer's market share to 1.2% (0.8% for Neubauer and 0.4% for the target). In this market, the new entity will face competition from both dealers of different brands and automotive professionals reselling used vehicles or individuals selling their vehicles.  </w:t>
        <w:br/>
        <w:t xml:space="preserve">13. In the markets for the retail sale of spare parts and automotive accessories, the parties provided their market shares for the BMW and MINI brands in Ile-de-France. They amount to 15.4% for Neubauer and 8.5% for the target, totaling 24%. In this segment, the new entity will face competition from various players such as Horizon (25% market share), Garage du Bac (11% market share), and other players such as Indigo, Fournier S.A., Team Lafayette, and Pellier RN3, as well as Pajean, along with two BMW-Mini branches. It should be added that dealers of other brands, numerous garages, and chains such as Speedy, Feu vert, or Norauto, are  </w:t>
        <w:br/>
        <w:t xml:space="preserve">2 See in particular the decision of August 13, 2009, regarding the acquisition by the Dubreuil group of certain assets of the Société Commerciale Automobile du Poitou.  </w:t>
        <w:br/>
        <w:t xml:space="preserve">3 See the aforementioned decisions.  </w:t>
        <w:br/>
        <w:t>3</w:t>
      </w:r>
    </w:p>
    <w:p>
      <w:r>
        <w:rPr>
          <w:b/>
        </w:rPr>
        <w:t>[Pages 4–4]</w:t>
      </w:r>
    </w:p>
    <w:p>
      <w:r>
        <w:t xml:space="preserve">also likely to offer consumers identical or equivalent quality spare parts and accessories to the original parts from the manufacturer. In the market for the retail sale of spare parts and automotive accessories, across all brands, the market share addition resulting from the operation will be minimal, as the target is only present for the BMW and MINI brands.  </w:t>
        <w:br/>
        <w:t xml:space="preserve">14. In the market for maintenance and repair services for motor vehicles, the parties have provided their market shares for the BMW and MINI brands in the Ile-de-France. They amount to 17% for Neubauer and 10% for the target, totaling 27%. In this segment, Neubauer will face competition from various players such as Horizon (27% market share), Garage du Bac (9% market share), and other players such as Indigo, Fournier S.A., Team Lafayette, and Pellier RN3, as well as Pajean, along with two BMW-Mini branches. Furthermore, in the market for maintenance and repair services for motor vehicles, there are many garages and non-specialized brands present for BMW and MINI.  </w:t>
        <w:br/>
        <w:t xml:space="preserve">15. It follows from the elements presented above that the operation is not likely to harm competition in the relevant markets.  </w:t>
        <w:br/>
        <w:t xml:space="preserve">DECIDES  </w:t>
        <w:br/>
        <w:t xml:space="preserve">Sole Article: the operation notified under number 09-0132 is authorized.  </w:t>
        <w:br/>
        <w:t xml:space="preserve">The Vice-President,  </w:t>
        <w:br/>
        <w:t xml:space="preserve">Françoise Aubert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