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https://www.autoritedelaconcurrence.fr/fr/decision-de-controle-des-concentrations/relative-lacquisition-par-la-societe-neubauer-distribution</w:t>
      </w:r>
    </w:p>
    <w:p>
      <w:r>
        <w:t>Pages translated : 5</w:t>
      </w:r>
    </w:p>
    <w:p/>
    <w:p>
      <w:r>
        <w:rPr>
          <w:b/>
        </w:rPr>
        <w:t>[Pages 1–3]</w:t>
      </w:r>
    </w:p>
    <w:p>
      <w:r>
        <w:t xml:space="preserve">FRENCH REPUBLIC  </w:t>
        <w:br/>
        <w:t xml:space="preserve">Decision No. 09-DCC-75 of December 11, 2009  </w:t>
        <w:br/>
        <w:t>regarding the acquisition by Neubauer Distribution SAS of Charles Pozzi SASU</w:t>
      </w:r>
    </w:p>
    <w:p>
      <w:r>
        <w:t xml:space="preserve">The Competition Authority,  </w:t>
        <w:br/>
        <w:t xml:space="preserve">Having regard to the notification file sent to the merger service on October 15, 2009, and declared complete on November 12, 2009, concerning the acquisition by Neubauer Distribution SAS of 100% of the shares of Charles Pozzi SASU, formalized by a transfer deed dated October 29,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Neubauer Distribution SAS is a simplified joint-stock company owned by Groupe Neubauer SA, the parent company of the eponymous group, controlled by individuals. The Neubauer group is active in Île-de-France in the distribution of new and used vehicles, the sale of spare parts, and the maintenance and repair of motor vehicles. In 2008, the Neubauer group achieved a worldwide turnover excluding taxes of 441 million euros, of which 418 million in France.  </w:t>
        <w:br/>
        <w:t xml:space="preserve">2. Charles Pozzi SASU is engaged in the sale and repair of Ferrari brand vehicles as a dealer and Maserati brand vehicles as an authorized distributor and repairer, in Paris and the surrounding region. Charles Pozzi SASU achieved a total worldwide turnover of 33 million euros exclusively in France in 2008.  </w:t>
        <w:br/>
        <w:t>3. As it results in the exclusive control of Charles Pozzi SASU by Neubauer Distribution SAS, the notified operation is a concentration operation within the meaning of Article L. 430-1 of the Commercial Code. Given the turnover of the concerned companies, it does not have a community dimension. However, the control thresholds applicable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4. In the automotive distribution sector, decision-making practice traditionally distinguishes:  </w:t>
        <w:br/>
        <w:t xml:space="preserve">- the distribution of new passenger vehicles intended for individual customers;  </w:t>
        <w:br/>
        <w:t xml:space="preserve">- the distribution of new passenger vehicles intended for professional customers;  </w:t>
        <w:br/>
        <w:t xml:space="preserve">- the distribution of commercial vehicles (notably light commercial vehicles);  </w:t>
        <w:br/>
        <w:t xml:space="preserve">- the distribution of used vehicles;  </w:t>
        <w:br/>
        <w:t xml:space="preserve">- the distribution of spare parts and automotive accessories;  </w:t>
        <w:br/>
        <w:t xml:space="preserve">- the maintenance and repair services for motor vehicles;  </w:t>
        <w:br/>
        <w:t xml:space="preserve">- rental services.  </w:t>
        <w:br/>
        <w:t xml:space="preserve">5. In this case, the parties are simultaneously active in the markets for the distribution of new passenger vehicles intended for individual customers, the distribution of used vehicles, the distribution of spare parts and automotive accessories, and the maintenance and repair services for motor vehicles.  </w:t>
        <w:br/>
        <w:t xml:space="preserve">6. Regarding the first two markets (distribution of new and used vehicles), it should be noted that the parties are only simultaneously active in vehicles of the Ferrari and Maserati brands. In its decision of December 29, 2003, regarding the acquisition of Charles Pozzi SA, the target of the present operation, by Ferrari Spa, the minister had determined that these vehicles belonged to a specific segment, the S-class vehicles, i.e., sports coupes, while leaving open the question of the exact delimitation of this market. However, it can be noted that the European Commission indicated in the Ford/Volvo decision that the boundaries of the different vehicle segments defined according to this classification (A: mini cars, B: small cars, C: medium cars, D: upper medium cars, E: premium cars, F: luxury cars, S: sports coupes, M: multi-purpose vehicles, ...) are blurred by many factors in that consumers choose their vehicle based on a variable combination of parameters such as size, brand, price, image, and the equipment and accessories offered. However, specifically regarding sports coupe vehicles, given their characteristics in terms of price and brand image, it is possible that the substitutability of sports coupes with all other vehicles is low.  </w:t>
        <w:br/>
        <w:t xml:space="preserve">7. The parties have proposed a detailed segmentation of automobile models by distinguishing a segment of high-end sports vehicles (or sports coupes) which includes models from brands such as Alfa Romeo (8C), Aston Martin (V8 Vantage, DB9, DBS, Vanquish), Audi (R8), Bentley (Arnage, Azure, Brooklands, Continental GT, Flying Spur), Bugatti (Veyron), Maserati (Gran Turismo, Quattroporte), Ferrari (California, F430, F599 GTB, F612), Jaguar (XK), Lamborghini (Gallardo, Murcielago), Maybach (57 and 62), Mercedes (SLR), Morgan (Aero 8, Aeromax), Porsche (Carrera GT, 997), Rolls Royce (Phantom). Furthermore, the parties consider a finer segmentation of these models relevant, distinguishing, on one side, "hyper sports" vehicles and, on the other side, "Luxury Grand Touring" vehicles.  </w:t>
        <w:br/>
        <w:t>8. In this case, the competitive analysis will be conducted on the segment of sports coupe vehicles, including all the aforementioned models, taking into account the sub-segments proposed by the parties. In any case, the exact delimitation of this market can be left open as long as the conclusions of the competitive analysis remain unchanged, regardless of the delimitation hypotheses retained.</w:t>
      </w:r>
    </w:p>
    <w:p>
      <w:r>
        <w:t xml:space="preserve">B. GEOGRAPHICAL DELIMITATION OF MARKETS  </w:t>
        <w:br/>
        <w:t xml:space="preserve">9. Regarding the segment of the distribution of new sports coupe vehicles, and its possible sub-segments, a national delimitation may be considered, as already noted by the Minister of Economy.  </w:t>
        <w:br/>
        <w:t xml:space="preserve">10. Regarding the distribution of used sports coupe vehicles, a local or national geographical delimitation may be considered. In this case, the competitive analysis will be conducted in the Île-de-France region, the exact geographical delimitation of this market can be left open, as long as the conclusions of the competitive analysis remain unchanged, regardless of the hypothesis retained.  </w:t>
        <w:br/>
        <w:t>11. Regarding the distribution of spare parts and maintenance and repair services, decision-making practice retains a local delimitation. There is no need to challenge this delimitation in the present decision.</w:t>
      </w:r>
    </w:p>
    <w:p>
      <w:r>
        <w:rPr>
          <w:b/>
        </w:rPr>
        <w:t>[Pages 4–5]</w:t>
      </w:r>
    </w:p>
    <w:p>
      <w:r>
        <w:t>III. Competitive Analysis</w:t>
      </w:r>
    </w:p>
    <w:p>
      <w:r>
        <w:t>12. In the national market for the distribution of sports coupe vehicles, the parties estimated their combined market share in 2008 at 12%, with 226 vehicles sold out of a total of 1843. In the sub-segments proposed by the parties of "hyper sport" and "luxury grand touring," the parties estimated their market shares at 10% and 16%, respectively. In these segments, the new entity will face competition from 9 other authorized Ferrari and Maserati dealers, as well as from all dealers marketing substitutable vehicles from brands such as Aston Martin, Audi, Bentley, Bugatti, Jaguar, Lamborghini, Maybach, Mercedes, Morgan, Porsche, or Rolls Royce.</w:t>
      </w:r>
    </w:p>
    <w:p>
      <w:r>
        <w:t>13. Regarding the distribution of used sports coupe vehicles in Île-de-France, the parties were unable to provide their market shares. However, they indicated that they sold 71 of the 292 used Ferrari vehicles sold in Île-de-France in 2008, representing 24%, and 50 of the 179 used Maserati vehicles, representing 28%. Furthermore, it should be noted that, in this market, many automotive professionals, beyond dealers or distributors authorized by manufacturers, are active, as well as individuals. For example, advertisements for used vehicles published in "La Centrale" on October 31, 2009, show that at least twenty automotive professionals were active in this market, if only for the brands Ferrari and Maserati.</w:t>
      </w:r>
    </w:p>
    <w:p>
      <w:r>
        <w:t>14. In the markets for the distribution of spare parts and automotive accessories, and for maintenance and repair services, it should be noted that after the operation, the new entity will be the only authorized repairer in Île-de-France for the brands Ferrari and Maserati. However, the merged entity will face competition from independent non-authorized repairers, such as Batayer garages, located in Voisins le Bretonneux, Fiorano Racing (Montigny le Bretonneux), Guillotin Automobiles (Etréchy), Isotta Automobiles (Colombes), and V12 automobiles (Saint Maur des Fossés), offering consumers repair services and spare parts for vehicles of the brands Ferrari and Maserati. It should be noted, however, that independent repairers source their own parts from authorized repairers for original Ferrari and Maserati spare parts. However, the merged entity will hold only […] of shares in the market for the resale of spare parts to professionals for the Ferrari brand and […] for the Maserati brand, the remainder being shared among the 9 other authorized repairers from whom independent repairers will continue to source.</w:t>
      </w:r>
    </w:p>
    <w:p>
      <w:r>
        <w:t>15. Given the above elements, the operation is not likely to harm competition in the relevant markets.</w:t>
      </w:r>
    </w:p>
    <w:p>
      <w:r>
        <w:t>DECIDES</w:t>
      </w:r>
    </w:p>
    <w:p>
      <w:r>
        <w:t>Sole Article: The operation notified under number 09-0102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