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https://www.autoritedelaconcurrence.fr/fr/decision-de-controle-des-concentrations/relative-lacquisition-par-la-societe-retail-leader-price</w:t>
      </w:r>
    </w:p>
    <w:p>
      <w:r>
        <w:t>Pages translated : 6</w:t>
      </w:r>
    </w:p>
    <w:p/>
    <w:p>
      <w:r>
        <w:rPr>
          <w:b/>
        </w:rPr>
        <w:t>[Pages 1–3]</w:t>
      </w:r>
    </w:p>
    <w:p>
      <w:r>
        <w:t>FRENCH REPUBLIC</w:t>
        <w:br/>
        <w:t>Decision No. 09-DCC-66 of November 25, 2009</w:t>
        <w:br/>
        <w:t>regarding the acquisition by Retail Leader Price Investissement of the subsidiaries of Figgico and Cofinag</w:t>
        <w:br/>
        <w:t>The Competition Authority,</w:t>
        <w:br/>
        <w:t>Having regard to the notification file submitted in full to the merger service on October 28, 2009, regarding the acquisition by Retail Leader Price Investissement of the subsidiaries of Figgico and Cofinag, formalized by two option exercise letters dated August 21, 2009;</w:t>
        <w:br/>
        <w:t>Having regard to Book IV of the Commercial Code relating to price freedom and competition, and in particular Articles L. 430-1 to L. 430-7;</w:t>
        <w:br/>
        <w:t>Having regard to the supplementary elements provided by the parties during the investigation;</w:t>
        <w:br/>
        <w:t>Adopts the following decision:</w:t>
        <w:br/>
        <w:t>I. The concerned companies and the operation</w:t>
        <w:br/>
        <w:t>1. Retail Leader Price Investissement (hereinafter "RLPI"), a subsidiary of the Casino Guichard Perrachon group, has as its main purpose the acquisition of stakes in companies operating stores under the Leader Price brand. The Casino group, the third largest player in the French food-dominated distribution sector, manages a network of over 10,000 stores (hypermarkets, supermarkets, convenience stores, discount stores...) under the Casino, Franprix, Spar, Vival, Naturalia, and Leader Price brands. The Casino group also holds 50% of the Monoprix group. Furthermore, it is present in the online distribution sector of non-food products with the Cdiscount brand.</w:t>
        <w:br/>
        <w:t>2. The Casino group belongs to the Euris group, which is controlled by Mr. Jean-Charles Naouri. The total worldwide turnover excluding taxes achieved by the Euris group in 2008, the last closed financial year, amounts to 29 billion euros, of which 19 billion euros in France.</w:t>
        <w:br/>
        <w:t>3. The companies Figgico and Cofinag are two holdings whose capital is wholly owned by the Guénant family. These holding companies hold stakes in 15 operating companies managing a total of 17 points of sale under the Leader Price brand. The ownership structures within these operating companies are as follows:</w:t>
      </w:r>
    </w:p>
    <w:p>
      <w:r>
        <w:t>- For the operating companies Leader Distribution (hereinafter "LD") Les Martines, LD Sud Vendée, LD Ambazac, LD Sèvre Niortaise, LD Aunis Saintonge1, LD Charente Maritime2, LD Poitou Charentes, LD Bressuire: the Guénant family, through the aforementioned holdings, holds 74% of the share capital, with the remaining 26% held by RLPI;</w:t>
        <w:br/>
        <w:t>- For the operating companies LD Bel Air, LD Guéret, LD Saint Léonard: 49.97% of the share capital is held by the Guénant family, 49.97% is held by another affiliate, Mr. Nougein, through his company, Nougein SA, with the remaining 0.06% held by RLPI;</w:t>
        <w:br/>
        <w:t>- For the operating company LD Centre Ouest: 66% of the capital is held by the Guénant family, through Figgico, and 34% by RLPI;</w:t>
        <w:br/>
        <w:t>- For the operating company LD Basse Marche: 51% of the share capital belongs to the Guénant family, through Cofinag, and the remaining 49% to RLPI.</w:t>
        <w:br/>
        <w:t>4. The total turnover excluding taxes achieved in 2008, the last closed financial year, by the 15 operating companies concerned by this operation amounts to 130 million euros, exclusively in France.</w:t>
        <w:br/>
        <w:t>* * *</w:t>
        <w:br/>
        <w:t>5. Mr. Guénant, as the representative of the companies Figgico and Cofinag, notified RLPI on August 21, 2009, of the exercise of the sale option resulting from the purchase promise granted by the latter, for the benefit of the companies Figgico and Cofinag. This option exercise concerns all the stakes held by the two holding companies in the capital of the aforementioned 15 operating companies.</w:t>
        <w:br/>
        <w:t>6. Following the operation, the Casino group will hold, through RLPI, the entirety of the capital of the operating companies LD Les Martines, LD Sud Vendée, LD Ambazac, LD Sèvre Niortaise, LD Aunis Saintonge, LD La Trache, LD Charente Maritime, LD Saujon, LD Poitou Charentes, LD Bressuire, LD Centre Ouest, and LD Basse Marche. The operation will also increase the Casino group's participation to 50.03% in the capital of the companies LD Bel Air, LD Guéret, and LD Saint Léonard. Upon reviewing the statutes of these three companies, it appears that decisions regarding, in particular, the appointment of the manager and the approval of annual accounts, are adopted by one or more partners representing more than half of the share capital. Following the proposed operation, Casino will therefore exercise exclusive control over the aforementioned 15 operating companies.</w:t>
        <w:br/>
        <w:t>* * *</w:t>
        <w:br/>
        <w:t>7. Insofar as it results in the exclusive control of the operating companies LD Les Martines, LD Sud Vendée, LD Ambazac, LD Sèvre Niortaise, LD Aunis Saintonge, LD La Trache, LD Charente Maritime, LD Saujon, LD Poitou Charentes, LD Bressuire, LD Centre Ouest, LD Basse Marche, LD Bel Air, LD Guéret, and LD Saint Léonard, the notified operation constitutes a concentration within the meaning of Article L. 430-1 of the Commercial Code. Given the turnover of the concerned companies, the operation does not have a community dimension. However, the thresholds mentioned in Article L. 430-2-II of the Commercial Code are exceeded. The present operation is therefore subject to the provisions of Articles L. 430-3 and following of the Commercial Code relating to economic concentration.</w:t>
        <w:br/>
        <w:t>1 LD Aunis Saintonge also has a subsidiary, LD La Trache, which also operates a point of sale under the Leader Price brand.</w:t>
        <w:br/>
        <w:t>2 LD Charente Maritime also has a subsidiary, LD Saujon, which also operates a point of sale under the Leader Price brand.</w:t>
      </w:r>
    </w:p>
    <w:p>
      <w:r>
        <w:t>II. Delimitation of Relevant Markets</w:t>
        <w:br/>
        <w:t>A. DELIMITATION OF PRODUCT MARKETS</w:t>
        <w:br/>
        <w:t>8. The parties are simultaneously active in the food-dominated distribution sector.</w:t>
        <w:br/>
        <w:t>9. According to the consistent practice of national and community competition authorities, two categories of markets can be delineated in the food-dominated distribution sector. These are, on the one hand, the "downstream" markets, of local dimension, which involve retail businesses and consumers for the sale of consumer goods and, on the other hand, the "upstream" markets for the supply of retail businesses with everyday consumer goods, of national dimension.</w:t>
        <w:br/>
        <w:t>1. DOWNSTREAM DISTRIBUTION MARKETS</w:t>
        <w:br/>
        <w:t>10. Regarding the retail sale of everyday consumer goods, competition authorities, both community and national, have distinguished six categories of trade using several criteria, including store size, sales techniques, accessibility, the nature of the service provided, and the range of products offered: (i) hypermarkets, (ii) supermarkets, (iii) specialized trade, (iv) small retail trade, (v) maxi discounters, (vi) mail order sales.</w:t>
        <w:br/>
        <w:t>11. Supermarkets are usually defined as food-dominated stores with a sales area of less than 2,500 m2 and more than 400 m2. However, it should be noted that these thresholds must be used with caution and may be adapted to the specific case, considering that stores whose area is close to a threshold, either below or above, may be in direct competition in practice.</w:t>
        <w:br/>
        <w:t>12. In this case, the 17 stores subject to this operation are operated under the Leader Price brand and fall into the category of maxi discounters. Furthermore, it can be specified that each of the 17 stores concerned occupies a sales area between 500 and 1,200 m2.</w:t>
        <w:br/>
        <w:t>2. UPSTREAM SUPPLY MARKETS</w:t>
        <w:br/>
        <w:t>13. Regarding the "upstream" supply markets, the Commission, in its decision M. 2115 Carrefour/GB of September 28, 2000, has already noted that these markets include "the sale of everyday consumer goods by producers to customers.</w:t>
      </w:r>
    </w:p>
    <w:p>
      <w:r>
        <w:rPr>
          <w:b/>
        </w:rPr>
        <w:t>[Pages 4–6]</w:t>
      </w:r>
    </w:p>
    <w:p>
      <w:r>
        <w:t>such as wholesalers, retailers, or other businesses (for example, cafes, hotels, restaurants). The Commission has acknowledged that this is a market division by product group which is generally considered the best.7 The decision-making practice of the Minister of Economy adopts this definition.8</w:t>
      </w:r>
    </w:p>
    <w:p>
      <w:r>
        <w:t>14. There is no need, in the context of this decision, to detail more precisely the product families concerned.</w:t>
      </w:r>
    </w:p>
    <w:p>
      <w:r>
        <w:t>B. GEOGRAPHICAL DELIMITATION OF MARKETS</w:t>
      </w:r>
    </w:p>
    <w:p>
      <w:r>
        <w:t>1. GEOGRAPHICAL DELIMITATION OF DOWNSTREAM DISTRIBUTION MARKETS</w:t>
      </w:r>
    </w:p>
    <w:p>
      <w:r>
        <w:t>15. In its recent decisions9 concerning operations involving hypermarkets or supermarkets, the Competition Authority has reiterated that two types of markets are usually distinguished, based on catchment areas:</w:t>
        <w:br/>
        <w:t>- a first market where the demand of consumers in an area meets the supply of hypermarkets that they can access within 30 minutes of driving and which are, from their perspective, substitutable for each other;</w:t>
        <w:br/>
        <w:t>- a second market where the demand of consumers, for each location, meets the supply of supermarkets and equivalent forms of commerce that are substitutable from the perspective of the concerned consumers, located within 15 minutes of driving time. These latter forms of commerce may include, in addition to supermarkets, hypermarkets located near consumers and discount stores.</w:t>
      </w:r>
    </w:p>
    <w:p>
      <w:r>
        <w:t>16. Other criteria may nevertheless be taken into account to assess the impact of a concentration on the competitive situation in retail distribution markets, which may lead to refining, in the specific case, the usual delimitations presented above.</w:t>
      </w:r>
    </w:p>
    <w:p>
      <w:r>
        <w:t>17. In this case, a catchment area of 15 minutes around the 17 concerned stores has been retained: Le Vigen (Limoges Sud) (87), Beaubreuil (Limoges Nord) (87), Royan (17), Rochefort (17), Saujon (17), Niort (79), Chatillon (Parthenay) (79), Limoges Bel Air (87), Guéret (23), Saint-Junien (87), Fontenay Le Compte (85), Ambazac (87), La Souterraine (23), Bressuire (79), Saint Léonard-de-Noblat (87), Surgères (17), and Cognac (16).</w:t>
      </w:r>
    </w:p>
    <w:p>
      <w:r>
        <w:t>18. However, since the Casino group does not operate any store in the areas of Royan (17), Saujon (17), La Souterraine (23), Bressuire (79), Saint Léonard-de-Noblat (87), Surgères (17), and Cognac (16), the operation only results in an overlap in the remaining 10 areas.</w:t>
      </w:r>
    </w:p>
    <w:p>
      <w:r>
        <w:t>7 See in particular the Commission decisions M.1221 Rewe/Meinl of February 3, 1999, and M.1684 Carrefour/Promodès of January 25, 2000.</w:t>
      </w:r>
    </w:p>
    <w:p>
      <w:r>
        <w:t>8 See in particular the Minister's decisions in the sector, C2005-98, Carrefour/Penny Market of November 10, 2005, C2006-15 Carrefour/Groupe Hamon of April 14, 2006, C2007-172 concerning the creation of the joint venture Plamidis of February 13, 2008, and C2008-32 Carrefour/SAGC of July 9, 2008.</w:t>
      </w:r>
    </w:p>
    <w:p>
      <w:r>
        <w:t>9 Decisions 09-DCC-24 of July 23, 2009 Floritine/C.S.F; 09-DCC- of May 28, 2009 Frandis/Financière Perdis; 09-DCC-06 of May 20, 2009 Evolis/ITM; 09-DCC-04 of April 29, 2009 Carrefour/Noukat,</w:t>
      </w:r>
    </w:p>
    <w:p>
      <w:r>
        <w:t>2. GEOGRAPHICAL DELIMITATION OF UPSTREAM SUPPLY MARKETS</w:t>
      </w:r>
    </w:p>
    <w:p>
      <w:r>
        <w:t>19. Regarding supply markets, the European Commission has recognized the existence of markets of national dimension by major product groups, a delimitation followed by national authorities.</w:t>
      </w:r>
    </w:p>
    <w:p>
      <w:r>
        <w:t>20. There is no need to challenge this delimitation in the context of the present operation.</w:t>
      </w:r>
    </w:p>
    <w:p>
      <w:r>
        <w:t>III. Competitive Analysis</w:t>
      </w:r>
    </w:p>
    <w:p>
      <w:r>
        <w:t>A. DOWNSTREAM MARKETS OF FOOD-DOMINATED DISTRIBUTION</w:t>
      </w:r>
    </w:p>
    <w:p>
      <w:r>
        <w:t>21. In the downstream market of food-dominated distribution, the notified operation results in an overlap in the following 10 catchment areas: Le Vigen (Limoges Sud) (87), Beaubreuil (Limoges Nord) (87), Rochefort (17), Niort (79), Chatillon (Parthenay) (79), Limoges Bel Air (87), Guéret (23), Saint-Junien (87), Fontenay Le Compte (85), Ambazac (87). In 8 of the 10 aforementioned areas, the market share of the Casino group will remain, following the present operation, below 25%, as indicated in the following table:</w:t>
      </w:r>
    </w:p>
    <w:p>
      <w:r>
        <w:t>2008 Total after</w:t>
        <w:br/>
        <w:t>Casino Group Guénant Family Competitor 1 Competitor 2</w:t>
        <w:br/>
        <w:t>Zone the operation</w:t>
        <w:br/>
        <w:t>Intermarché Leclerc</w:t>
        <w:br/>
        <w:t>Rochefort [10-20]% [5-10]% [10-20]% ([30-40]%) ([20-30]%)</w:t>
        <w:br/>
        <w:t>Carrefour Leclerc</w:t>
        <w:br/>
        <w:t>Guéret [5-10]% [5-10]% [10-20]% ([40-50]%) ([20-30]%)</w:t>
        <w:br/>
        <w:t>Fontenay Le Système U Leclerc</w:t>
        <w:br/>
        <w:t>Compte [5-10]% [5-10]% [10-20]% ([30-40]%) ([30-40]%)</w:t>
        <w:br/>
        <w:t>Carrefour Lidl</w:t>
        <w:br/>
        <w:t>Ambazac [10-20]% [10-20]% [20-30]% ([60-70]%) ([10-20]%)</w:t>
        <w:br/>
        <w:t>Beaubreuil Carrefour Intermarché</w:t>
        <w:br/>
        <w:t>(Limoges Nord) [10-20]% [5-10]% [10-20]% ([30-40]%) ([10-20]%)</w:t>
        <w:br/>
        <w:t>Le Vigen Carrefour Intermarché</w:t>
        <w:br/>
        <w:t>[10-20]% [5-10]% [10-20]%</w:t>
        <w:br/>
        <w:t>(Limoges Sud) ([30-40]%) ([10-20]%)</w:t>
        <w:br/>
        <w:t>Carrefour Intermarché</w:t>
        <w:br/>
        <w:t>Limoges Bel Air [10-20]% [5-10]% [10-20]% ([40-50]%) ([10-20]%)</w:t>
        <w:br/>
        <w:t>Carrefour Leclerc</w:t>
        <w:br/>
        <w:t>Saint-Junien [5-10]% [5-10]% [10-20]% ([40-50]%) ([30-40]%)</w:t>
      </w:r>
    </w:p>
    <w:p>
      <w:r>
        <w:t>22. The new entity will also remain confronted, in these 8 areas, with strong competition notably from the Carrefour, Intermarché, and Leclerc groups.</w:t>
      </w:r>
    </w:p>
    <w:p>
      <w:r>
        <w:t>23. In the catchment area of Niort (79), the market share of the Casino group will increase, following the operation, from [20-30]% to [30-40]%. The addition of market shares resulting from the acquisition of the Guénant family's stakes is therefore low ([0-5]%). Furthermore, the stores of the Casino group will continue to face competition in the Niort area from major distribution groups such as Carrefour ([30-40]% market share), Leclerc ([20-30]% market share), and Intermarché ([10-20]% market share).</w:t>
      </w:r>
    </w:p>
    <w:p>
      <w:r>
        <w:t>24. In the catchment area of Chatillon (79), the group will hold, following the notified operation, a market share of [20-30]% (i.e., [20-30]% for Casino and [5-10]% for the Guénant family). However, the stores of the Casino group will continue to face competition in this area from a Centre E. Leclerc hypermarket ([30-40]% market share), a Hyper U hypermarket ([30-40]% market share), and a Lidl discount store ([5-10]% market share).</w:t>
      </w:r>
    </w:p>
    <w:p>
      <w:r>
        <w:t>25. Considering all these elements, the operation is not likely to harm competition in the downstream market of food-dominated distribution.</w:t>
      </w:r>
    </w:p>
    <w:p>
      <w:r>
        <w:t>B. UPSTREAM SUPPLY MARKETS</w:t>
      </w:r>
    </w:p>
    <w:p>
      <w:r>
        <w:t>26. Regarding upstream supply markets, it should be noted that the operation is limited to 17 stores representing, in 2008, [0-5]% of the revenue generated by the Casino group in France under the Franprix/Leader-Price brand and less than [0-5]% of the national revenue generated by the entire food distribution activity of the group. The acquisition of the Guénant family's stakes is therefore not likely to significantly strengthen the purchasing power of the Casino group, across all products as well as by major product groups. The strengthening is all the more minor since, prior to the operation, the stores subject to the notified operation were already sourcing almost exclusively through the purchasing center Distribution Leader Price, a subsidiary of the Casino group.</w:t>
      </w:r>
    </w:p>
    <w:p>
      <w:r>
        <w:t>DECIDES</w:t>
      </w:r>
    </w:p>
    <w:p>
      <w:r>
        <w:t>Sole Article: The operation notified under number 09-0104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