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https://www.autoritedelaconcurrence.fr/fr/decision-de-controle-des-concentrations/relative-lacquisition-par-la-societe-systeme-u-centrale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13-DCC-05 of January 8, 2013  </w:t>
        <w:br/>
        <w:t xml:space="preserve">regarding the acquisition by the company Système U Centrale Régionale Ouest of the company Meldis  </w:t>
        <w:br/>
        <w:t xml:space="preserve">The Competition Authority,  </w:t>
        <w:br/>
        <w:t xml:space="preserve">Having regard to the complete notification file submitted to the mergers department on December 19, 2012, concerning the acquisition of the company Meldis and its subsidiaries by the company Système U Centrale Régionale Ouest, formalized by a memorandum of understanding dated December 14,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by the company Système U Centrale Régionale Ouest of the company Meldis, which operates a retail business fund predominantly in food under the brand Super U with a surface area of 2,450 m² in Lanvallay (22). The operation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12-212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