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https://www.autoritedelaconcurrence.fr/fr/decision-de-controle-des-concentrations/relative-lacquisition-par-la-societe-thevenin-ducrot</w:t>
      </w:r>
    </w:p>
    <w:p>
      <w:r>
        <w:t>Pages translated : 4</w:t>
      </w:r>
    </w:p>
    <w:p/>
    <w:p>
      <w:r>
        <w:rPr>
          <w:b/>
        </w:rPr>
        <w:t>[Pages 1–3]</w:t>
      </w:r>
    </w:p>
    <w:p>
      <w:r>
        <w:t xml:space="preserve">FRENCH REPUBLIC  </w:t>
        <w:br/>
        <w:t xml:space="preserve">Decision No. 09-DCC-60 of October 28, 2009  </w:t>
        <w:br/>
        <w:t xml:space="preserve">regarding the acquisition by the company Thevenin &amp; Ducrot Distribution  </w:t>
        <w:br/>
        <w:t>of assets from the Société des Pétroles Shell</w:t>
      </w:r>
    </w:p>
    <w:p>
      <w:r>
        <w:t xml:space="preserve">The Competition Authority,  </w:t>
        <w:br/>
        <w:t xml:space="preserve">Having regard to the notification file sent to the merger service on August 26, 2009, and declared complete on September 28, 2009, regarding the acquisition by the company Thevenin &amp; Ducrot Distribution of service stations from the Société des Pétroles Shell, formalized by a transfer contract dated June 24, 2009;  </w:t>
        <w:br/>
        <w:t xml:space="preserve">Having regard to Book IV of the Commercial Code relating to price freedom and competition, and in particular its Articles L. 430-1 to L. 430-7;  </w:t>
        <w:br/>
        <w:t>Having regard to the supplementary elements transmitted by the parties during the investigation.</w:t>
      </w:r>
    </w:p>
    <w:p>
      <w:r>
        <w:t>Adopts the following decision:</w:t>
      </w:r>
    </w:p>
    <w:p>
      <w:r>
        <w:t xml:space="preserve">I. The concerned companies and the operation  </w:t>
        <w:br/>
        <w:t xml:space="preserve">1. The company Thevenin &amp; Ducrot Distribution, a simplified joint-stock company, is a subsidiary of the Thevenin &amp; Ducrot group whose main activity is primarily the import, storage, and distribution of petroleum products in France. The company Thevenin &amp; Ducrot Distribution is exclusively controlled by the company Thevenin &amp; Ducrot S.A., which is in turn owned by the company Thevenin &amp; Ducrot Financière. The latter is controlled by two individuals, who do not engage in any other activities in upstream, downstream, or related markets. The company Thevenin &amp; Ducrot Distribution is present in the petroleum product distribution market through its AVIA brand. The total worldwide turnover excluding taxes achieved by the Thevenin &amp; Ducrot group in 2008, the last closed financial year, amounted to 1.8 billion euros, generated exclusively in France.  </w:t>
        <w:br/>
        <w:t xml:space="preserve">2. The Société des Pétroles Shell, a subsidiary of the Anglo-Dutch company Royal Dutch Shell plc, has a network of 330 service stations operated under its brand, of which 66 are owned by independent dealers. The Shell group is represented in France by a set of 15 French law subsidiaries, the main ones being the Société des Pétroles Shell, the Société des Lubrifiants de Nanterre, and Butagaz. The group is active in the sectors of oil, lubricants, and gas. The total worldwide turnover excluding taxes achieved in 2008 by the divested assets amounts to 173.4 million euros in France.  </w:t>
        <w:br/>
        <w:t xml:space="preserve">3. The divested assets are service stations known as "CODO" ("Company Owned Dealer Operator"), for which the Société des Pétroles Shell or one of its subsidiaries entrusts the management to a tenant-manager LLC under an operating contract. More specifically, included within the scope of the operation are:  </w:t>
        <w:br/>
        <w:t xml:space="preserve">- 39 "CODO" sales points for which Shell has full ownership of the business assets as well as the land and buildings,  </w:t>
        <w:br/>
        <w:t xml:space="preserve">- 3 "CODO" sales points for which Shell is the tenant of the business assets and buildings under a lease management contract,  </w:t>
        <w:br/>
        <w:t xml:space="preserve">- 24 "CODO" sales points for which Shell has full ownership of the business assets and holds a commercial lease;  </w:t>
        <w:br/>
        <w:t xml:space="preserve">- 3 "CODO" sales points for which Shell holds an occupancy agreement,  </w:t>
        <w:br/>
        <w:t xml:space="preserve">- 4 "CODO" sales points for which Shell holds a concession for the occupation of public domain.  </w:t>
        <w:br/>
        <w:t xml:space="preserve">4. Furthermore, the transfer contract provides for the transfer of about twenty service stations known as "DODO" ("Dealer Owned, Dealer Operated"), that is to say, service stations operated by a third party or a tenant-manager of that third party under a commission contract or a retail supply contract for Shell fuels. It appears from the draft contracts that, a priori, their operation under the AVIA brand will not confer to Thevenin &amp; Ducrot Distribution a decisive influence over the concerned assets.  </w:t>
        <w:br/>
        <w:t>5. In any case, the qualification of the control exercised over the "DODO" stations can be left open in the analysis of the present operation as it does not impact the conclusions of the competitive analysis and where, with only the "CODO" stations, representing a turnover excluding taxes exceeding 15 million euros generated exclusively in France, the notified operation constitutes a concentration within the meaning of Article L. 430-1 of the Commercial Code. Given the turnover of the concerned companies, the operation does not have a community dimension. However, the control thresholds mentioned in Article L. 430-2-I of the Commercial Code are exceeded. The present operation is therefore subject to the provisions of Articles L. 430-3 of the Commercial Code relating to economic concentration.</w:t>
      </w:r>
    </w:p>
    <w:p>
      <w:r>
        <w:t xml:space="preserve">II. Delimitation of relevant markets  </w:t>
        <w:br/>
        <w:t xml:space="preserve">A. PRODUCT DELIMITATION  </w:t>
        <w:br/>
        <w:t xml:space="preserve">6. The parties are simultaneously present in the retail fuel sales sector in service stations located in France. The competition authorities have already considered that there existed a retail market for fuel sales, encompassing all types of fuels. However, distribution on highways is distinguished from distribution off highways. In the present case, only off-highway service stations are concerned.  </w:t>
        <w:br/>
        <w:t>7. Regarding ancillary activities to fuel sales (such as the sale of shop products like lubricants or accessories), given the marginal nature of the volumes sold and the presence of numerous retailers other than service stations capable of selling the products in question, the current operation will have only a marginal impact on the markets encompassing these products, which will therefore not be subject to a competitive analysis.</w:t>
      </w:r>
    </w:p>
    <w:p>
      <w:r>
        <w:t xml:space="preserve">B. GEOGRAPHICAL DELIMITATION  </w:t>
        <w:br/>
        <w:t xml:space="preserve">8. The European Commission in its decision M. 1464 Total/PetroFina of March 26, 1999, indicated that "the geographical market for the sale of fuels must be defined by reference to demand, constituted by motorists who refuel at stations close to their centers of activity, without traveling long distances. Consequently, substitutability between supply stations is, from the demand side, geographically limited. Furthermore, the catchment areas of service stations may overlap from the demand perspective, and this phenomenon of interpenetration can produce effects on the homogeneity of competitive conditions. It follows that, in this case, the areas to be considered for a competitive analysis could group several areas presenting an intersecting character. In any case, the market for network fuel sales can be at most of national dimension." On this occasion, the Commission left open the question of the exact geographical delimitation of retail fuel sales markets.  </w:t>
        <w:br/>
        <w:t xml:space="preserve">9. In several subsequent decisions, the Minister of Economy considered that the market for retail fuel sales off highways was of local dimension. The Minister of Economy took into account, in his competitive analysis, the market structure at the departmental level and, in cases where the operation resulted in strong positions at the departmental level, the Minister refined his analysis at the level of urban areas, while leaving the exact delimitation of the markets open.  </w:t>
        <w:br/>
        <w:t xml:space="preserve">10. In the present case, the parties are simultaneously present in eleven urban areas (Thionville, Roanne, Avignon, Dijon, Draguignan, Grenoble, Le Cannet, Lyon, Marseille, Nice, Bourg en Bresse, Tournon, and Montélimar) which will be subject to a competitive analysis.  </w:t>
        <w:br/>
        <w:t>11. In any case, the question of the exact geographical definition of the markets in question can be left open as the operation does not raise serious doubts regardless of the delimitation retained.</w:t>
      </w:r>
    </w:p>
    <w:p>
      <w:r>
        <w:rPr>
          <w:b/>
        </w:rPr>
        <w:t>[Pages 4–4]</w:t>
      </w:r>
    </w:p>
    <w:p>
      <w:r>
        <w:t xml:space="preserve">III. Competitive Analysis  </w:t>
        <w:br/>
        <w:t xml:space="preserve">12. In ten urban areas (Thionville, Roanne, Avignon, Dijon, Draguignan, Grenoble, Le Cannet, Lyon, Marseille, Nice), the cumulative market share of the new entity in the retail fuel sales market off highways remains, after the operation, below 15%. The new entity will face competition from the Total group, which, according to the parties' estimates, will hold market shares in these urban areas ranging from 10% to 38%, as well as from Carrefour, Intermarché, Leclerc, Auchan, Système U, Auchan, Esso, BP, Casino, Match, and Cora.  </w:t>
        <w:br/>
        <w:t xml:space="preserve">13. In the Tournon market and its urban area, the new entity will have a cumulative market share of 30.40% distributed as follows: Thevenin &amp; Ducrot holding 11.95% market share and the target holding 18.45% market share. In this area, the main competitors are Intermarché (38.67% market share), Carrefour (19.33% market share), and the Total group (11.60% market share).  </w:t>
        <w:br/>
        <w:t xml:space="preserve">14. Consequently, it follows from the investigation that, in each local market for retail fuel sales previously identified, the operation is not likely to harm competition.  </w:t>
        <w:br/>
        <w:t xml:space="preserve">DECIDES  </w:t>
        <w:br/>
        <w:t xml:space="preserve">Sole Article: The operation notified under number 09-0079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