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https://www.autoritedelaconcurrence.fr/fr/decision-de-controle-des-concentrations/relative-lacquisition-par-le-groupe-psa-des-elements-du</w:t>
      </w:r>
    </w:p>
    <w:p>
      <w:r>
        <w:t>Pages translated : 5</w:t>
      </w:r>
    </w:p>
    <w:p/>
    <w:p>
      <w:r>
        <w:rPr>
          <w:b/>
        </w:rPr>
        <w:t>[Pages 1–3]</w:t>
      </w:r>
    </w:p>
    <w:p>
      <w:r>
        <w:t xml:space="preserve">FRENCH REPUBLIC  </w:t>
        <w:br/>
        <w:t xml:space="preserve">Decision No. 10-DCC-80 of July 26, 2010  </w:t>
        <w:br/>
        <w:t>regarding the acquisition by the PSA group of elements of the business assets of Bernier Automobiles</w:t>
      </w:r>
    </w:p>
    <w:p>
      <w:r>
        <w:t xml:space="preserve">The Competition Authority,  </w:t>
        <w:br/>
        <w:t xml:space="preserve">Having regard to the notification file sent to the concentrations service on April 21, 2010, and declared complete on June 18, 2010, concerning the acquisition by Peugeot Neuilly Victor Hugo, a subsidiary of the PSA group, of elements of the business assets operated by Bernier Automobiles, formalized by a transfer agreement signed on April 16, 2010;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The company Peugeot Neuilly Victor Hugo, a public limited company, has as its sole shareholder the Société Commerciale Automobile, which is itself exclusively controlled by the PSA group, owner of the Citroën and Peugeot brands. The Société Commerciale Automobile's main activity is the marketing and distribution of Peugeot brand vehicles. The PSA group, primarily active in the construction, distribution, maintenance, and repair of motor vehicles, is present in more than 140 countries with a number of vehicles sold amounting to 3,260,000 in 2008. The PSA group achieved a total consolidated worldwide turnover excluding taxes of 54.35 billion euros in 2008, of which 15.9 billion euros was exclusively generated in France.  </w:t>
        <w:br/>
        <w:t>2. The company Bernier Automobiles, a simplified joint-stock company, 100% subsidiary of the Bernier group, is active in the sale of new and used vehicles, the sale of spare parts, and in repair and maintenance services. Benefiting from a dealership contract with the Peugeot brand, it operates notably two garages in Neuilly and in the 16th arrondissement of Paris.</w:t>
      </w:r>
    </w:p>
    <w:p>
      <w:r>
        <w:t xml:space="preserve">3. The company Peugeot Neuilly Victor Hugo committed, by a transfer agreement signed on April 16, 2010, to take over the activity of Bernier Automobiles conducted at the sites in Paris 16th and Neuilly. The transferred assets represented in 2009 a turnover of approximately 45 million euros, exclusively achieved in France.  </w:t>
        <w:br/>
        <w:t>4. The operation will grant the PSA group exclusive control of these assets. It therefore constitutes a concentration within the meaning of Article L.430-1 of the Commercial Code. Given the turnover of the companies concerned, it does not have a Community dimension. However, the control thresholds applicable to retail trade mentioned in point II. of Article L. 430-2 of the Commercial Code are exceeded. The present operation is therefore subject to the provisions of Articles L. 430-3 and following of the Commercial Code relating to economic concentration.</w:t>
      </w:r>
    </w:p>
    <w:p>
      <w:r>
        <w:t xml:space="preserve">II. Definition of relevant markets  </w:t>
        <w:br/>
        <w:t xml:space="preserve">A. DEFINITION OF PRODUCT AND SERVICE MARKETS  </w:t>
        <w:br/>
        <w:t xml:space="preserve">5. In the automotive distribution sector, decisional practice1 distinguishes:  </w:t>
        <w:br/>
        <w:t xml:space="preserve">i. the distribution of new passenger cars intended for individual customers;  </w:t>
        <w:br/>
        <w:t xml:space="preserve">ii. the distribution of new passenger cars intended for professional customers;  </w:t>
        <w:br/>
        <w:t xml:space="preserve">iii. the distribution of commercial vehicles (notably light utility vehicles);  </w:t>
        <w:br/>
        <w:t xml:space="preserve">iv. the distribution of used vehicles;  </w:t>
        <w:br/>
        <w:t xml:space="preserve">v. the distribution of spare parts and automotive accessories;  </w:t>
        <w:br/>
        <w:t xml:space="preserve">vi. the distribution of maintenance and repair services for motor vehicles;  </w:t>
        <w:br/>
        <w:t xml:space="preserve">vii. the distribution of rental services.  </w:t>
        <w:br/>
        <w:t xml:space="preserve">6. There is no need to challenge these definitions during the examination of the present operation.  </w:t>
        <w:br/>
        <w:t>7. The companies concerned are simultaneously present in each of these markets, except for the market for the distribution of rental services.</w:t>
      </w:r>
    </w:p>
    <w:p>
      <w:r>
        <w:t xml:space="preserve">B. GEOGRAPHICAL DEFINITION OF MARKETS  </w:t>
        <w:br/>
        <w:t xml:space="preserve">8. Regarding the retail sale of new or used motor vehicles, spare parts and automotive accessories, and maintenance and repair services for motor vehicles, decisional practice2 adopts a local definition, with the analysis generally conducted at the departmental level.  </w:t>
        <w:br/>
        <w:t xml:space="preserve">1 See in particular Decision No. 09-DCC-01 of the Competition Authority of April 8, 2009, Decision No. 10-DCC-23 of March 1, 2010;  </w:t>
        <w:br/>
        <w:t>2 See the aforementioned decisions.</w:t>
      </w:r>
    </w:p>
    <w:p>
      <w:r>
        <w:t>9. In the present case, the company Bernier Automobiles managing two business assets located respectively in the commune of Neuilly Sur Seine and the 16th arrondissement of Paris, the competitive analysis will be conducted on the department of Hauts de Seine and on that of Paris.</w:t>
      </w:r>
    </w:p>
    <w:p>
      <w:r>
        <w:t xml:space="preserve">III. Competitive Analysis  </w:t>
        <w:br/>
        <w:t xml:space="preserve">10. Regarding the calculation of market shares, decisional practice3 considers as an indicator the ratio between the sales of new vehicles made by the parties in the departments concerned by the operation and the total registrations of new vehicles recorded in these same departments by the prefectures.  </w:t>
        <w:br/>
        <w:t xml:space="preserve">11. On the different markets concerned by the operation, the parties to the concentration present the following market shares:  </w:t>
        <w:br/>
        <w:t xml:space="preserve">Paris Hauts de Seine  </w:t>
        <w:br/>
        <w:t xml:space="preserve">PDM Group PDM Bernier PDM Group PDM Bernier  </w:t>
        <w:br/>
        <w:t xml:space="preserve">Cumulative PDM Cumulative PDM  </w:t>
        <w:br/>
        <w:t xml:space="preserve">PSA Automobiles PSA Automobiles  </w:t>
        <w:br/>
        <w:t xml:space="preserve">distribution of new passenger vehicles intended for individual customers 22.6% 1.9% 24.5% 22.9% 0.6% 23.5%  </w:t>
        <w:br/>
        <w:t xml:space="preserve">distribution of new passenger vehicles intended for professional customers 31% 1.1% 32.1% 17.6% 0.4% 18%  </w:t>
        <w:br/>
        <w:t xml:space="preserve">distribution of commercial vehicles 33.7% 1% 34.7% 30.9% 0.6% 31.5%  </w:t>
        <w:br/>
        <w:t xml:space="preserve">distribution of used vehicles 21.8% 1.2% 23% 18.7% 0.4% 19.1%  </w:t>
        <w:br/>
        <w:t xml:space="preserve">distribution of spare parts and automotive accessories 7.4% 0.9% 8.3% 4.9% 1.3% 6.2%  </w:t>
        <w:br/>
        <w:t xml:space="preserve">distribution of maintenance and repair services for vehicles 12.9% 0.6% 13.5% 4.7% 0.9% 5.6%  </w:t>
        <w:br/>
        <w:t xml:space="preserve">12. The parties will exceed 25% market share only in the market for the distribution of new passenger vehicles intended for professional customers in the department of Paris, and the distribution of commercial vehicles in the departments of Hauts de Seine and Paris.  </w:t>
        <w:br/>
        <w:t>3 See the aforementioned decisions.</w:t>
      </w:r>
    </w:p>
    <w:p>
      <w:r>
        <w:rPr>
          <w:b/>
        </w:rPr>
        <w:t>[Pages 4–5]</w:t>
      </w:r>
    </w:p>
    <w:p>
      <w:r>
        <w:t>13. The Peugeot brand, which represents approximately 18% of the new automobile sales market nationwide in 2009, is distributed through three different distribution channels:</w:t>
        <w:br/>
        <w:t>- Direct sales operated by the manufacturer PSA to its staff, public administrations, and short-term vehicle rental companies;</w:t>
        <w:br/>
        <w:t>- Branches and commercial subsidiaries whose capital belongs to the PSA group and which are equipped with a New Cars dealership contract (hereinafter VN), spare parts distributor, and/or authorized repairer;</w:t>
        <w:br/>
        <w:t>- Independent dealers, generally equipped with the same contracts as the subsidiaries but whose capital does not belong to the PSA group, a category into which the transferred assets fall.</w:t>
      </w:r>
    </w:p>
    <w:p>
      <w:r>
        <w:t>14. Regarding the three affected markets, it should first be noted that the market share increment is very low, between 0.6% and 1.1%. Indeed, concerning, for example, the market for the distribution of commercial vehicles, Bernier Automobiles sold only 112 light utility vehicles at its Paris establishment in 2009 for a total market of 10,582 vehicles and 59 vehicles at its Neuilly establishment for a total of 10,092 vehicles.</w:t>
      </w:r>
    </w:p>
    <w:p>
      <w:r>
        <w:t>15. The parties were unable to provide the market shares of the various competing distributors in the two considered areas. However, they did provide the market shares of competing brands of Peugeot and Citroën.</w:t>
      </w:r>
    </w:p>
    <w:p>
      <w:r>
        <w:t>16. Specifically, regarding the market for the distribution of passenger vehicles intended for a professional clientele in Paris, the distributor Renault Retail Group, a subsidiary of the Renault group, represents the main competitor of the parties, with a market share of 20.7%. It operates 11 establishments engaged in selling vehicles to professionals. Other competitors are also present, such as distributors of the Volkswagen brand (estimated market share in Paris of 8.8%), Audi (5.9%), Mercedes (4.5%), BMW (4.2%), Ford (3.6%), Toyota (2.6%), Smart (1.8%), Fiat (1.6%), Volvo (1.6%), Honda (1.5%). Furthermore, it should be noted that the customers of the parties are not systematically companies located within the jurisdiction of the department of Paris, with the four main client companies of Bernier Automobiles having, for example, their respective headquarters in Suresnes (92), Gentilly (94), Montrouge (92), and Lyon (69).</w:t>
      </w:r>
    </w:p>
    <w:p>
      <w:r>
        <w:t>17. Regarding the market for the distribution of commercial motor vehicles, the parties face significant competition from the Renault group, which has a market share of 36.6%. Many distributors of other brands are also present, for example, for the brands Ford (6.21%), Fiat (5.9%), Mercedes (6%), Volkswagen (2.4%).</w:t>
      </w:r>
    </w:p>
    <w:p>
      <w:r>
        <w:t>18. Moreover, in the two considered departments, there are numerous points of sale for vehicles managed either by independent distributors or by integrated manufacturer networks. Thus, the department of Paris has 97 points of sale, of which only 17 are subsidiaries of the PSA group. The department of Hauts de Seine also has more than a hundred points of sale with approximately the same proportion of subsidiaries of the PSA group.</w:t>
      </w:r>
    </w:p>
    <w:p>
      <w:r>
        <w:t>19. Regarding the retail market for spare parts and automotive accessories, where the market share increment is less than 1% for both the department of Paris and Hauts-de-Seine, the parties will have to face competition from independent Peugeot brand dealers present in these departments and the neighboring departments, to which should be added dealers of other brands, numerous garages, and specialized chains such as Speedy, Midas, or Norauto, which may offer consumers spare parts and accessories identical to or of equivalent quality to those distributed by the parties.</w:t>
      </w:r>
    </w:p>
    <w:p>
      <w:r>
        <w:t>20. Therefore, considering these elements, the operation is not likely to harm competition.</w:t>
      </w:r>
    </w:p>
    <w:p>
      <w:r>
        <w:t>DECIDES</w:t>
      </w:r>
    </w:p>
    <w:p>
      <w:r>
        <w:t>Sole Article: The operation notified under number 10-0044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