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https://www.autoritedelaconcurrence.fr/fr/decision-de-controle-des-concentrations/relative-lacquisition-par-le-groupe-vermilion-de-six</w:t>
      </w:r>
    </w:p>
    <w:p>
      <w:r>
        <w:t>Pages translated : 4</w:t>
      </w:r>
    </w:p>
    <w:p/>
    <w:p>
      <w:r>
        <w:rPr>
          <w:b/>
        </w:rPr>
        <w:t>[Pages 1–3]</w:t>
      </w:r>
    </w:p>
    <w:p>
      <w:r>
        <w:t xml:space="preserve">FRENCH REPUBLIC  </w:t>
        <w:br/>
        <w:t xml:space="preserve">Decision No. 11-DCC-203 of December 20, 2011  </w:t>
        <w:br/>
        <w:t xml:space="preserve">regarding the acquisition by the Vermilion group of six concessions for  </w:t>
        <w:br/>
        <w:t xml:space="preserve">liquid and gaseous hydrocarbons  </w:t>
        <w:br/>
        <w:t xml:space="preserve">The Competition Authority,  </w:t>
        <w:br/>
        <w:t xml:space="preserve">Having regard to the notification file sent to the concentrations service on October 21, 2011, and declared complete on November 17, 2011, concerning the acquisition by the Vermilion group from Total Exploration et Production France SAS (hereinafter, "Total E&amp;P") of 6 concessions for liquid and gaseous hydrocarbons located in Itteville (91), Vert-le-Grand (91), Vert-le-Petit (91), la Croix Blanche (91), Vic-Bilh (64), and Dommartin-Lettrée (51), as well as the assets related to the exploitation of these concessions, formalized by a letter of acquisition offer dated April 14, 2011, and a letter of acceptance for the opening of exclusive negotiations dated May 31, 2011;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Canadian group Vermilion is active in the exploration, development, and production of oil and gas in Canada, the Netherlands, France, and Australia. Vermilion operates numerous hydrocarbon concessions in France, in the Aquitaine and Paris basins. The companies Vermilion Pyrénées SAS (hereinafter "Vermilion Pyrénées") and Vermilion Exploration SAS (hereinafter "Vermilion Exploration") are French subsidiaries controlled by Vermilion Recherche et Exploration Pétrolière SAS (hereinafter "Vermilion REP"), which is itself indirectly controlled by Vermilion Energy Inc., the parent holding company of the Vermilion group.  </w:t>
        <w:br/>
        <w:t xml:space="preserve">2. Total Exploration et Production France SAS (hereinafter "Total E&amp;P") is a subsidiary of the Total group, active in the research, exploration, and exploitation of oil and gas. In France, it operates the concessions for liquid and gaseous hydrocarbons in Itteville (91), Vert-le-Grand (91), Vert-le-Petit (91), la Croix Blanche (91), Vic-Bilh (64), and Dommartin-Lettrée (51), which are the subject of the notification.  </w:t>
        <w:br/>
        <w:t xml:space="preserve">3. According to the offer sent by Vermilion to Total E&amp;P on April 14, 2011, and the letter of acceptance for the opening of exclusive negotiations sent by Total E&amp;P on May 31, 2011, the operation involves the acquisition by the Vermilion group of the concessions for liquid and gaseous hydrocarbons in Itteville (91), Vert-le-Grand (91), Vert-le-Petit (91), la Croix Blanche (91), Vic-Bilh (64), and Dommartin-Lettrée (51), as well as the assets related to the exploitation of these concessions. This operation constitutes a concentration within the meaning of Article L. 430-1 of the Commercial Code.  </w:t>
        <w:br/>
        <w:t xml:space="preserve">4. The companies concerned together achieved a consolidated turnover excluding taxes of more than 150 million euros worldwide in the last closed financial year (the Vermilion group: 538 million euros for the 2010 financial year; the concessions concerned by the operation: 71.6 million euros for the same financial year). Each of these companies achieved a turnover exceeding 50 million euros in France (the Vermilion group: 186.8 million euros for the 2010 financial year; the concessions concerned by the operation: 71.6 million euros for the same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A. PRODUCT MARKETS  </w:t>
        <w:br/>
        <w:t xml:space="preserve">5. Within the oil and gas industry sector, decision-making practice distinguishes "upstream" activities from "downstream" activities. "Upstream" activities include three types of activities: the search for new reserves (exploration), development (setting up the necessary infrastructure for production: oil platforms, pipelines, terminals, etc.), and the commercial exploitation of these reserves (production). "Downstream" activities include refining, as well as the marketing of refined products and their distribution to end users.  </w:t>
        <w:br/>
        <w:t xml:space="preserve">6. In this case, the operation concerns "upstream" activities. Indeed, the parties to the operation are simultaneously present in the sectors of exploration, development, and production of oil and gas.  </w:t>
        <w:br/>
        <w:t xml:space="preserve">1 These assets transferred by Total E&amp;P to Vermilion include all the goods essential for the operation of the concessions concerned by the operation: in particular, the exploitation rights, real estate, and facilities necessary for exploitation, wells, seismic data.  </w:t>
        <w:br/>
        <w:t xml:space="preserve">2 See in particular the letter from the Minister of Economy, Finance and Industry C2006-37 of April 19, 2006, Vermilion/Esso, the decision of the Competition Authority 09-DCC-59 of October 26, 2009, regarding the acquisition of 37 service stations from the Shell network by Total Raffinage Marketing SA, the decision of the Competition Authority 11-DCC-13 of January 31, 2011, regarding the exclusive control by Bolloré Energie of a business branch of the company Les Combustibles de Normandie; and the decisions of the European Commission, COMP/M.1383-Exxon/Mobil of September 29, 1999; COMP/M.1464 - Total/PetroFina of March 26, 1999, COMP/M.1628 TotalFina/Elf of February 9, 2000; COMP/M.2681 – Conoco Inc. / Phillips Petroleum Company of March 6, 2002, and COMP/M.3052 - ENI / Fortum Gas of January 23, 2003.  </w:t>
        <w:br/>
        <w:t xml:space="preserve">7. National3 and Community4 decision-making practice considers the existence of a market for exploration, distinct from the markets for production and sale. Indeed, there are service providers specialized in exploration and the transfer of concession rights, notably from companies that have undertaken exploration activities to other companies that handle production and sale activities, which is very common in the oil and gas industry sector.  </w:t>
        <w:br/>
        <w:t xml:space="preserve">8. Within the exploration market, decision-making practice5 considers that it is not necessary to distinguish between crude oil and gas insofar as the content of the subsoil is not known before exploration operations. At the level of production and sale, precedents, however, retain a segmentation between crude oil and natural gas.  </w:t>
        <w:br/>
        <w:t xml:space="preserve">9. In this case, the precise definition of the relevant markets may remain open insofar as, regardless of the segmentation retained, the conclusions of the competitive analysis will remain unchanged.  </w:t>
        <w:br/>
        <w:t xml:space="preserve">B. GEOGRAPHICAL MARKETS  </w:t>
        <w:br/>
        <w:t xml:space="preserve">10. The decision-making practice of the European Commission6 considers that the market for hydrocarbon exploration and the market for the production and sale of crude oil have a global dimension.  </w:t>
        <w:br/>
        <w:t xml:space="preserve">11. The parties consider that the market for the production and sale of natural gas also has a global dimension, while decision-making practice considers that this market has at least a European dimension and would likely include Russia and Algeria.  </w:t>
        <w:br/>
        <w:t xml:space="preserve">12. In this case, there is no need to challenge the geographical delimitation of the markets identified by the Commission.  </w:t>
        <w:br/>
        <w:t xml:space="preserve">III. Competitive analysis  </w:t>
        <w:br/>
        <w:t xml:space="preserve">13. In the global market for hydrocarbon exploration, the combined market shares of Vermilion and the six concessions subject to the operation7 are well below 0.1%. Indeed, the parties operate concessions that represent less than 0.005% of global oil reserves and less than 0.04% of global gas reserves.  </w:t>
        <w:br/>
        <w:t xml:space="preserve">3 See the decision of the Minister of Economy C2006-37 cited above.  </w:t>
        <w:br/>
        <w:t xml:space="preserve">4 See the decisions of the European Commission M.1383, M.2681, and M.3052 cited above.  </w:t>
        <w:br/>
        <w:t xml:space="preserve">5 See the decision of the European Commission M.1383 cited above.  </w:t>
        <w:br/>
        <w:t xml:space="preserve">6 See the decision of the European Commission M.1383 cited above.  </w:t>
        <w:br/>
        <w:t>7 See the decisions of the European Commission M.1383 (point No. 22, where the market share of the companies concerned in the exploration market is notably assessed in relation to the number of oil concessions granted worldwide) and M.3052 (point No. 19, where the market share of the companies concerned is assessed based on the volume of "proven" reserves of gas or oil they hold, relative to the total of proven global reserves).</w:t>
      </w:r>
    </w:p>
    <w:p>
      <w:r>
        <w:rPr>
          <w:b/>
        </w:rPr>
        <w:t>[Pages 4–4]</w:t>
      </w:r>
    </w:p>
    <w:p>
      <w:r>
        <w:t>14. In the global market for the production and sale of crude oil, Vermilion produced, in 2010, 4,000 barrels per day and the six concessions transferred produced 8,200 barrels per day. The cumulative market share of the parties will therefore be 0.014%. In France, the operation reinforces Vermilion's leading position, which accounts for nearly 70% of national hydrocarbon production, followed by Lundin, Total, Géopétrol, SPPE, Toreador, and Pétrorep.</w:t>
      </w:r>
    </w:p>
    <w:p>
      <w:r>
        <w:t>15. In the European market (not even including Russia or Algeria) for the production and sale of gas, Vermilion holds a market share of approximately 1.4%, corresponding to a production of 3.8 million cubic meters in 2010, and the Vic-Bilh concession8, the only concession among the target assets producing gas, represents nearly 0.3% of this market. The cumulative market share of the new entity in the gas production market will therefore rise to nearly 1.7%. If Russia and Algeria are included, its market share will rise to nearly 0.5%.</w:t>
      </w:r>
    </w:p>
    <w:p>
      <w:r>
        <w:t>16. Consequently, the operation is not likely to harm competition in the markets for exploration and for the production and sale of crude oil and natural gas.</w:t>
      </w:r>
    </w:p>
    <w:p>
      <w:r>
        <w:t>DECIDES</w:t>
        <w:br/>
        <w:t>Sole Article: The operation notified under number 11-191 is authorized.</w:t>
        <w:br/>
        <w:t>The President,</w:t>
        <w:br/>
        <w:t>Bruno Lasserre</w:t>
        <w:br/>
        <w:t>Competition Authority</w:t>
        <w:br/>
        <w:t>8 Vermilion and Total E&amp;P jointly operate the Vic-Bilh concession prior to the operation. Total E&amp;P produces 910,864 cubic meters of gas there and Vermilion produces 336,895 cubic meters of 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