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https://www.autoritedelaconcurrence.fr/fr/decision-de-controle-des-concentrations/relative-lacquisition-par-retail-leader-price</w:t>
      </w:r>
    </w:p>
    <w:p>
      <w:r>
        <w:t>Pages translated : 2</w:t>
      </w:r>
    </w:p>
    <w:p/>
    <w:p>
      <w:r>
        <w:rPr>
          <w:b/>
        </w:rPr>
        <w:t>[Pages 1–2]</w:t>
      </w:r>
    </w:p>
    <w:p>
      <w:r>
        <w:t xml:space="preserve">FRENCH REPUBLIC  </w:t>
        <w:br/>
        <w:t xml:space="preserve">Decision No. 15-DCC-161 of December 2, 2015  </w:t>
        <w:br/>
        <w:t xml:space="preserve">regarding the acquisition by Retail Leader Price Investissement of  </w:t>
        <w:br/>
        <w:t xml:space="preserve">the companies Pavidis, Distrimar, Montaub, Casteleader, and Fobiodis  </w:t>
        <w:br/>
        <w:t xml:space="preserve">The Competition Authority,  </w:t>
        <w:br/>
        <w:t xml:space="preserve">Having regard to the complete notification file submitted to the mergers department on November 5, 2015, concerning the exclusive control acquisition by Retail Leader Price Investissement of the companies Pavidis, Distrimar, Montaub, Casteleader, and Fobiodis, formalized by a transactional agreement signed on September 3, 2014, and amended by two addenda signed on May 5 and October 30,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Retail Leader Price Investissement, a subsidiary of the Casino group, of five companies each operating a retail business predominantly in food under the Leader Price brand located in Pavie (32), Marmande (47), Montauban (82), and Castelsarrasin (82). This operation constitutes a concentration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15-196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