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https://www.autoritedelaconcurrence.fr/fr/decision-de-controle-des-concentrations/relative-lacquisition-par-systeme-u-centrale-regionale-est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12-DCC-151 of October 22, 2012  </w:t>
        <w:br/>
        <w:t xml:space="preserve">regarding the acquisition by Système U Centrale Régionale Est  </w:t>
        <w:br/>
        <w:t xml:space="preserve">of the company Udis  </w:t>
        <w:br/>
        <w:t xml:space="preserve">The Competition Authority,  </w:t>
        <w:br/>
        <w:t xml:space="preserve">Having regard to the complete notification file submitted to the mergers department on  </w:t>
        <w:br/>
        <w:t xml:space="preserve">September 27, 2012, concerning the acquisition of the company Udis by Système U Centrale Régionale Est, formalized by a prior sale offer notification served by bailiff on  </w:t>
        <w:br/>
        <w:t xml:space="preserve">June 29, 2012;  </w:t>
        <w:br/>
        <w:t xml:space="preserve">Having regard to Book IV of the Commercial Code relating to the freedom of prices and competition, and in particular its Articles L. 430-1 to L. 430-7;  </w:t>
        <w:br/>
        <w:t xml:space="preserve">Adopts the following decision:  </w:t>
        <w:br/>
        <w:t xml:space="preserve">1. The notified operation consists of the exclusive control acquisition of the company Udis, which operates a predominantly food distribution business under the brand Super U with a surface area of 2,569 m² in Joinville (52), by Système U Centrale Régionale Est. It constitutes a concentration operation within the meaning of Article L. 430-1 of the Commercial Code. Given the turnover generated by the companies involved, the operation does not have a community dimension. On the other hand, the control thresholds related to retail trade mentioned in point II of Article L. 430-2 of the Commercial Code are exceeded. This operation is therefore subject to the provisions of Articles L. 430-3 and following of the Commercial Code relating to economic concentration.  </w:t>
        <w:br/>
        <w:t>2. In light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12-162 is authorized.  </w:t>
        <w:br/>
        <w:t xml:space="preserve">The President,  </w:t>
        <w:br/>
        <w:t xml:space="preserve">Bruno Lasserre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