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https://www.autoritedelaconcurrence.fr/fr/decision-de-controle-des-concentrations/relative-laffiliation-de-kerialis-prevoyance-au-groupe</w:t>
      </w:r>
    </w:p>
    <w:p>
      <w:r>
        <w:t>Pages translated : 2</w:t>
      </w:r>
    </w:p>
    <w:p/>
    <w:p>
      <w:r>
        <w:rPr>
          <w:b/>
        </w:rPr>
        <w:t>[Pages 1–2]</w:t>
      </w:r>
    </w:p>
    <w:p>
      <w:r>
        <w:t xml:space="preserve">FRENCH REPUBLIC  </w:t>
        <w:br/>
        <w:t xml:space="preserve">Decision No. 26-DCC-31 of January 27, 2026  </w:t>
        <w:br/>
        <w:t xml:space="preserve">regarding the affiliation of KERIALIS Prévoyance  </w:t>
        <w:br/>
        <w:t xml:space="preserve">to the Malakoff Humanis group  </w:t>
        <w:br/>
        <w:t xml:space="preserve">The Competition Authority,  </w:t>
        <w:br/>
        <w:t xml:space="preserve">Having regard to the complete notification file submitted to the mergers department on January 12, 2026,  </w:t>
        <w:br/>
        <w:t xml:space="preserve">concerning the affiliation of KERIALIS Prévoyance to the Malakoff Humanis group formalized by a  </w:t>
        <w:br/>
        <w:t xml:space="preserve">merger protocol signed on December 19, 2025;  </w:t>
        <w:br/>
        <w:t xml:space="preserve">Having regard to Book IV of the Commercial Code relating to the freedom of prices and competition, and  </w:t>
        <w:br/>
        <w:t xml:space="preserve">notably its Articles L. 430-1 to L. 430-7;  </w:t>
        <w:br/>
        <w:t xml:space="preserve">Having regard to the other documents in the file;  </w:t>
        <w:br/>
        <w:t xml:space="preserve">Adopts the following decision:  </w:t>
        <w:br/>
        <w:t xml:space="preserve">1. The notified operation consists of the merger between Malakoff Humanis and KERIALIS  </w:t>
        <w:br/>
        <w:t xml:space="preserve">Prévoyance, resulting in the acquisition of control over the entity KERIALIS Prévoyance, of which  </w:t>
        <w:br/>
        <w:t xml:space="preserve">KERIALIS Retraite and KERIALIS Courtage by the Malakoff Humanis group. In accordance  </w:t>
        <w:br/>
        <w:t xml:space="preserve">with the practice of the Competition Authority, the affiliation of KERIALIS Prévoyance to the mutual insurance group company (SGAM) Malakoff Humanis constitutes a de facto merger. The sectors primarily concerned by the operation are those of reinsurance, insurance production, third-party asset distribution, and asset management. Given the revenues generated by the companies involved, the operation does not fall under the jurisdiction of the European Union. On the other hand, the control thresholds mentioned in 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26-013 is authorized.  </w:t>
        <w:br/>
        <w:t xml:space="preserve">The President,  </w:t>
        <w:br/>
        <w:t xml:space="preserve">Benoît Cœuré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