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https://www.autoritedelaconcurrence.fr/fr/decision-de-controle-des-concentrations/relative-laffiliation-de-la-mutuelle-civile-de-la-defense-0</w:t>
      </w:r>
    </w:p>
    <w:p>
      <w:r>
        <w:t>Pages translated : 4</w:t>
      </w:r>
    </w:p>
    <w:p/>
    <w:p>
      <w:r>
        <w:rPr>
          <w:b/>
        </w:rPr>
        <w:t>[Pages 1–3]</w:t>
      </w:r>
    </w:p>
    <w:p>
      <w:r>
        <w:t xml:space="preserve">FRENCH REPUBLIC  </w:t>
        <w:br/>
        <w:t xml:space="preserve">Decision No. 16-DCC-117 of August 11, 2016  </w:t>
        <w:br/>
        <w:t xml:space="preserve">regarding the affiliation of the Mutuelle Civile de la Défense to the Société de Groupe d’Assurance Mutuelle Klésia Assurances  </w:t>
        <w:br/>
        <w:t xml:space="preserve">The Competition Authority,  </w:t>
        <w:br/>
        <w:t xml:space="preserve">Having regard to the notification file submitted in full to the concentrations service on July 8, 2016, regarding the affiliation of the Mutuelle Civile de la Défense to the Société de Groupe d’Assurance Mutuelle Klésia Assurances, formalized by an affiliation agreement dated June 28, 2016;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Klésia is a parity group of social protection1 resulting from the merger between the Mornay and D&amp;O groups2 and active in the personal insurance sector. It includes two interprofessional complementary retirement institutions (Klésia retraite ARCCO and Klésia retraite AGIRC), a complementary retirement fund for transport (Carcept), two management associations for the End of Activity Leave in the transport sector (Fongecfa and Agecfa), two provident institutions (Klésia Prévoyance and Carcept Prévoyance), a transport provident institution (Ipriac), a public limited company for insurance (Klésia SA), a mutual union (la FMP), a mutual insurance company for transport (Carcept Accident), and two mutuals (Mutuelle Klésia Saint Germain and Mutuelle Carcept Prev). The Association Sommitale Klésia (hereinafter "ASK"), a unique governance structure, defines the political and strategic orientations of the group. The ASK is linked with the Association de Moyens Klésia (hereinafter "AMK") and with each of the group's entities by an operational agreement. The Klésia group has also established a Société de Groupe d’Assurance Mutuelle (hereinafter "SGAM") named "Klésia Assurances," which notably allows for the combination of accounts as well as the implementation of financial solidarity among affiliates.  </w:t>
        <w:br/>
        <w:t xml:space="preserve">2. The Mutuelle Civile de la Défense (hereinafter "MCD") is a mutual insurance company governed by the provisions of "Book II" of the Code de la mutualité. It is approved under branches 1 (accidents), 2 (illness), 20 (life-death), and 21 (maternity/natality). It operates almost exclusively in the health insurance sector.  </w:t>
        <w:br/>
        <w:t xml:space="preserve">3. The affiliation agreement to be concluded between SGAM Klésia Assurances and MCD, which was approved by their respective boards of directors on May 23, 2016, provides for the establishment of significant and lasting financial solidarity links between the Klésia group and MCD. In addition to its solidarity mechanisms, SGAM Klésia establishes combined accounts (equivalent to consolidated accounts) and ensures the implementation by its members of a coherent commercial policy, making the best use of the complementarity of their products. It also plays a role in representing the affiliated companies for their common activities.  </w:t>
        <w:br/>
        <w:t xml:space="preserve">4. In light of these elements and in accordance with the decision-making practice of the Authority3, the affiliation of MCD to SGAM Klésia Assurances constitutes a de facto merger, insofar as this operation brings together the activities of MCD with the activities of the other companies affiliated to SGAM within a single economic entity. Consequently, this operation constitutes a concentration within the meaning of Article L. 430-1 of the Commercial Code.  </w:t>
        <w:br/>
        <w:t xml:space="preserve">5. The companies concerned have achieved a consolidated turnover excluding tax on a global scale of more than 150 million euros (Klésia group: […] billion euros for the fiscal year ending December 31, 2015; MCD: […] million euros for the fiscal year ending December 31, 2015). Each of these companies has achieved, in France, a turnover exceeding 50 million euros (Klésia group: […] billion euros for the fiscal year ending December 31, 2015; MCD: […] million euros for the fiscal year ending December 31, 2015).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3 See the decisions, No. 10-DCC-52 of June 2, 2010, regarding the creation of a Société de Groupe d’Assurance Mutuelle by Macif, MAIF, and Matmut, No. 11-DCC-97 of June 29, 2011, regarding the affiliation of the provident institution Apgis to the mutual insurance group Covéa, No. 13-DCC-84 of July 4, 2013, regarding the affiliation of the interprofessional mutual SMI to the Société de Groupe d’Assurance Mutuelle Covéa, and No. 14-DCC-20 of February 17, 2014, regarding the affiliation of the Mutuelle Nationale des Personnels Air France to the Société de Groupe d’Assurance Mutuelle Macif.  </w:t>
        <w:br/>
        <w:t xml:space="preserve">*Correction of material error  </w:t>
        <w:br/>
        <w:t>2</w:t>
      </w:r>
    </w:p>
    <w:p>
      <w:r>
        <w:t xml:space="preserve">II. Delimitation of Relevant Markets  </w:t>
        <w:br/>
        <w:t xml:space="preserve">6. The parties to the operation are active in the markets for individual and group health insurance, in the market for individual provident contracts, as well as in the life insurance market.  </w:t>
        <w:br/>
        <w:t xml:space="preserve">A. DELIMITATION OF PRODUCT OR SERVICE MARKETS  </w:t>
        <w:br/>
        <w:t xml:space="preserve">7. National and Community decision-making practice consistently distinguishes reinsurance activities from insurance activities4.  </w:t>
        <w:br/>
        <w:t xml:space="preserve">8. Regarding reinsurance, national and Community competition authorities consider it a distinct market due to the specificity of its purpose (the distribution of risks among insurers) and the less stringent regulatory constraints on this activity.  </w:t>
        <w:br/>
        <w:t xml:space="preserve">9. Regarding insurance activities, a distinction has been made between personal insurance and property and liability insurance, each of which can be segmented into as many markets as there are insurances covering the different types of risks5. Finally, additional segmentations have been considered within personal insurance between group insurance contracts and individual insurance contracts, and within property and liability insurance between insurance for individuals and insurance for professionals.  </w:t>
        <w:br/>
        <w:t xml:space="preserve">10. In this case, the parties to the operation are simultaneously active in personal insurance and more specifically in the markets for individual provident contracts as well as in the markets for individual and group complementary health insurance6.  </w:t>
        <w:br/>
        <w:t xml:space="preserve">11. However, the question of the exact delimitation of these markets will be left open, with the conclusions of the competitive analysis remaining unchanged, regardless of the delimitations retained.  </w:t>
        <w:br/>
        <w:t xml:space="preserve">4 See for example the decisions of the European Commission COMP/M.3556 - Fortis / BCP of January 19, 2005, COMP/M.2676 - SAMPO / VARMA SAMPO / IF HOLDING / JV of December 18, 2001, IV/M.862 - AXA / UAP of December 20, 1996, as well as decisions No. 09-DCC-16 of June 22, 2009, regarding the merger between the Caisse d’Épargne and Banque Populaire groups and No. 10-DCC-52 of June 2, 2010, regarding the creation of a SGAM by MACIF, MAIF, and MATMUT.  </w:t>
        <w:br/>
        <w:t xml:space="preserve">5 See in particular the decisions of the European Commission COMP/M.5083 - Groupama / OTP Garancia of April 15, 2008, COMP/M.3556 - Fortis / BCP of January 19, 2005, as well as the decisions of the Competition Authority No. 15-DCC-108 of August 12, 2015, regarding the exclusive control of the Mutuelle Saint-Germain by the mutual Klésia Mutuelle, No. 15-DCC-16 of February 25, 2015, regarding the creation of a Société de groupe d’Assurance Mutuelle ("SGAM") by the Groupe La Mutuelle Générale and the Groupe Malakoff Médéric, No. 13-DCC-171 of November 20, 2013, regarding the exclusive control by the Klésia group of a portfolio of insurance contracts, No. 13-DCC-84 of July 4, 2013, regarding the affiliation of the interprofessional mutual SMI to the mutual insurance group Covéa, No. 10-DCC-52 of June 2, 2010, regarding the creation of a Société de Groupe d’Assurance Mutuelle ("SGAM") by MACIF, MAIF, and MATMUT, No. 11-DCC-97 of June 29, 2011, regarding the affiliation of the provident institution Apgis to the mutual insurance group Covéa, and No. 14-DCC-84 of June 20, 2014, regarding the joint control of the Primonial group by the Crédit Mutuel Arkéa and Primonial Management companies.  </w:t>
        <w:br/>
        <w:t xml:space="preserve">6 The markets for individual and group complementary health insurance include insurance products that guarantee beneficiaries in the event of illness, accident, or maternity and aim to provide insured individuals with complementary coverage for health expenses.  </w:t>
        <w:br/>
        <w:t xml:space="preserve">*Correction of material error  </w:t>
        <w:br/>
        <w:t>3</w:t>
      </w:r>
    </w:p>
    <w:p>
      <w:r>
        <w:rPr>
          <w:b/>
        </w:rPr>
        <w:t>[Pages 4–4]</w:t>
      </w:r>
    </w:p>
    <w:p>
      <w:r>
        <w:t xml:space="preserve">B. DELIMITATION OF GEOGRAPHICAL MARKETS  </w:t>
        <w:br/>
        <w:t xml:space="preserve">12. It follows from decision-making practice that, with the exception of certain insurances covering large-scale risks, the markets for insurance products are considered to be of national dimension given consumer preferences, the existence of national legislation and tax constraints, the current structure of these markets, and regulatory systems.  </w:t>
        <w:br/>
        <w:t>13. There is no need to challenge these delimitations to analyze the effects of the transaction.</w:t>
      </w:r>
    </w:p>
    <w:p>
      <w:r>
        <w:t xml:space="preserve">III. Competitive Analysis  </w:t>
        <w:br/>
        <w:t xml:space="preserve">14. The notifying party provided an estimate of the size of the relevant markets in 2015 based on data from Argus as of July 2016. It estimates the total market for collective health insurance at €12.39 billion and the market for individual health insurance at €15.87 billion.  </w:t>
        <w:br/>
        <w:t xml:space="preserve">15. Based on revenues generated in 2015, the combined market share of the parties to the transaction will not exceed 5%, with the transaction resulting in an increment of market share of less than 1%, whether in the market for collective or individual health insurance or in the market for individual provident insurance. Furthermore, following the transaction, the Klésia group will continue to face competition in these markets from large groups such as the Istya group, Union Harmonie Mutuelles, Axa, Groupama Gan, the Malakoff-Médéric group, or the Humanis group.  </w:t>
        <w:br/>
        <w:t>16. Consequently, the transaction is not likely to harm competition in the various relevant markets for personal insurance.</w:t>
      </w:r>
    </w:p>
    <w:p>
      <w:r>
        <w:t xml:space="preserve">DECIDES  </w:t>
        <w:br/>
        <w:t xml:space="preserve">Sole Article: The transaction notified under number 16-111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