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https://www.autoritedelaconcurrence.fr/fr/decision-de-controle-des-concentrations/relative-laffiliation-de-la-mutuelle-civile-de-la-defense</w:t>
      </w:r>
    </w:p>
    <w:p>
      <w:r>
        <w:t>Pages translated : 7</w:t>
      </w:r>
    </w:p>
    <w:p/>
    <w:p>
      <w:r>
        <w:rPr>
          <w:b/>
        </w:rPr>
        <w:t>[Pages 1–3]</w:t>
      </w:r>
    </w:p>
    <w:p>
      <w:r>
        <w:t xml:space="preserve">FRENCH REPUBLIC  </w:t>
        <w:br/>
        <w:t xml:space="preserve">Decision No. 11-DCC-186 of December 14, 2011  </w:t>
        <w:br/>
        <w:t>regarding the affiliation of the Mutuelle Civile de la Défense to the Istya group mutualist union</w:t>
      </w:r>
    </w:p>
    <w:p>
      <w:r>
        <w:t xml:space="preserve">The Competition Authority,  </w:t>
        <w:br/>
        <w:t xml:space="preserve">Having regard to the notification file submitted in full to the concentrations service on November 10, 2011, regarding the affiliation of the Mutuelle Civile de la Défense to the Istya group mutualist union, formalized by a draft affiliation agreement approved by the general assembly of Istya on September 22, 2011, and that of the general assembly of the Mutuelle Civile de la Défense on June 17, 2011;  </w:t>
        <w:br/>
        <w:t xml:space="preserve">Having regard to Book IV of the Commercial Code relating to price freedom and competition, and in particular its Articles L. 430-1 to L. 430-10;  </w:t>
        <w:br/>
        <w:t xml:space="preserve">Having regard to the additional elements submitted by the parties during the investigation;  </w:t>
        <w:br/>
        <w:t>Adopts the following decision:</w:t>
      </w:r>
    </w:p>
    <w:p>
      <w:r>
        <w:t xml:space="preserve">I. The companies concerned and the operation  </w:t>
        <w:br/>
        <w:t xml:space="preserve">1. The Mutuelle Civile de la Défense is a mutual governed by the provisions of the Mutuality Code. It is authorized to provide insurance benefits under branches 1 (accident), 2 (illness), 20 (life-death), and 21 (maternity/marriage).  </w:t>
        <w:br/>
        <w:t xml:space="preserve">2. Istya is a group mutualist union (hereinafter "UMG") to which the Mutuelle Générale de l’Éducation Nationale (hereinafter "MGEN"), the Mutuelle Générale de l’Éducation Nationale Vie (hereinafter "MGEN Vie"), the Mutuelle Générale de l’Éducation Nationale Filia (hereinafter "MGEN Filia"), the Mutuelle Nationale des Hospitaliers (hereinafter "MNH"), the Mutuelle Nationale Territoriale (hereinafter "MNT"), the Mutuelle Générale de l’Environnement et des Territoires (hereinafter "MGET"), and the Mutuelle des Affaires Étrangères et Européennes (hereinafter "MAEE") are affiliated. Istya and its members (hereinafter "the Istya group") are present in the sector of providing insurance benefits and ancillary products such as assistance, borrower insurance, and acquisition guarantees.  </w:t>
        <w:br/>
        <w:t xml:space="preserve">3. The draft affiliation agreement approved by the general assemblies of the Mutuelle Civile de la Défense and Istya on June 17 and September 22, 2011, respectively, provides for establishing "significant and lasting financial solidarity links that do not result from participations"1 between the Mutuelle Civile de la Défense and Istya, which characterize, according to decision-making practice2, the combination of activities of previously independent companies. Furthermore, Istya will publish combined accounts, based on the accounts of the companies affiliated with it. Additionally, pursuant to the provisions of its statutes, Istya's purpose is notably to define and coordinate the strategic directions necessary for the development of the group it constitutes.  </w:t>
        <w:br/>
        <w:t xml:space="preserve">4. Considering all these elements, the affiliation of the Mutuelle Civile de la Défense with the Istya group constitutes a concentration operation within the meaning of Article L. 430-1 of the Commercial Code.  </w:t>
        <w:br/>
        <w:t>5. The companies concerned have together achieved a consolidated turnover excluding taxes on a global scale of more than 150 million euros in the last closed financial year (the Istya group: […] billion euros for the financial year ending December 31, 2010; Mutuelle Civile de la Défense: […] million euros for the same financial year). Each of these companies has achieved, in France, a turnover exceeding 50 million euros (the Istya group: […] billion euros for the financial year ending December 31, 2010; Mutuelle Civile de la Défense: […] million euros for the same financial year). Given these turnover figures, the operation does not have a community dimension.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relevant markets  </w:t>
        <w:br/>
        <w:t xml:space="preserve">A. THE MARKETS FOR PRODUCTS  </w:t>
        <w:br/>
        <w:t xml:space="preserve">6. The national and community competition authorities distinguish between the markets for personal insurance, property insurance, and reinsurance3. Regarding the first two categories of products, the competition authorities have considered that they can be segmented according to the types of risks, insofar as, from the demand perspective, insurance covering these different risks are not substitutable4.  </w:t>
        <w:br/>
        <w:t>7. The parties to the transaction are simultaneously active in the markets for personal insurance products and the distribution of insurance products on behalf of third parties.</w:t>
      </w:r>
    </w:p>
    <w:p>
      <w:r>
        <w:t xml:space="preserve">1. THE MARKETS FOR PERSONAL INSURANCE PRODUCTS  </w:t>
        <w:br/>
        <w:t xml:space="preserve">8. Regarding the market for personal insurance, in addition to segmentation based on different types of risk, a further segmentation can be made between group insurance contracts, concluded between an insurer and a policyholder distinct from the beneficiary, and individual insurance contracts where the policyholder is also the beneficiary5.  </w:t>
        <w:br/>
        <w:t xml:space="preserve">9. In the case at hand, the parties to the transaction are simultaneously active in personal insurance and have identified the following segments where their activities overlap:  </w:t>
        <w:br/>
        <w:t xml:space="preserve">- the market for complementary health insurance, which aims to supplement the benefits offered by mandatory health insurance schemes. The risk covered corresponds to the costs not covered by social security incurred for medical treatment, and the complementary reimbursements depend on the benefits of the legal social security scheme. This may involve either group insurance contracts or individual insurance contracts. In this case, the parties' activities overlap in the segments of individual contracts and group contracts for complementary health insurance;  </w:t>
        <w:br/>
        <w:t xml:space="preserve">- the market for provident insurance, which includes insurance products designed to cover beneficiaries against loss of income in the event of an accident, death, long-term illness, disability, incapacity, or job loss through the payment of compensation in the form of a lump sum or annuity. The risk covered is that of an unpredictable loss of income suffered by the beneficiary or their heirs. This may involve either group insurance contracts or individual insurance contracts. In this case, the parties' activities overlap only in the segment of individual provident contracts;  </w:t>
        <w:br/>
        <w:t xml:space="preserve">- the market for funeral insurance, which is intended to cover funeral expenses and provide assistance for all procedures and formalities related to death.  </w:t>
        <w:br/>
        <w:t>10. In any case, the exact definition of each of the markets examined in this decision can be left open, as the conclusions of the competitive analysis will remain unchanged regardless of the segmentations retained.</w:t>
      </w:r>
    </w:p>
    <w:p>
      <w:r>
        <w:t xml:space="preserve">2. THE MARKETS FOR THE DISTRIBUTION OF INSURANCE PRODUCTS ON BEHALF OF THIRD PARTIES  </w:t>
        <w:br/>
        <w:t xml:space="preserve">11. The distribution of insurance products consists of marketing and ensuring the administrative management of the guarantees or insurance contracts whose risk is borne by insurers.  </w:t>
        <w:br/>
        <w:t xml:space="preserve">4 See the aforementioned decision of the European Commission No. COMP/M.4284, the aforementioned letter from the Minister of Economy No. C2007-49, and the aforementioned decision of the Competition Authority 10-DCC-52.  </w:t>
        <w:br/>
        <w:t xml:space="preserve">5 See the letter from the Minister of Economy, Finance and Industry of April 7, 2003, to the CEO of the insurance company La Mondiale and to the General Delegate of the AG2R Prévoyance provident institution, and the decision 11-DCC-156 of October 24, 2011, regarding the merger by absorption of the mutuals Adrea Mutuelle (absorbing mutual), Adrea Mutuelle Bourgogne, Adrea Mutuelle Pays de Savoie, Adrea Mutuelle Muti, Adrea Mutuelle Franche-Comté, Adrea Mutuelle Unilia, Adrea Mutuelle Centre Auvergne, and the contribution of the portfolio of Adrea Mutuelle Pays de l’Ain to Adrea Mutuelle.  </w:t>
        <w:br/>
        <w:t>3</w:t>
      </w:r>
    </w:p>
    <w:p>
      <w:r>
        <w:rPr>
          <w:b/>
        </w:rPr>
        <w:t>[Pages 4–6]</w:t>
      </w:r>
    </w:p>
    <w:p>
      <w:r>
        <w:t>et moins de [0-5] % du marché de la distribution pour compte de tiers d'assurance emprunteur.</w:t>
      </w:r>
    </w:p>
    <w:p>
      <w:r>
        <w:t>29. En conséquence, l'opération ne devrait pas nuire à la concurrence sur les marchés de la distribution de produits d'assurance pour le compte de tiers.</w:t>
      </w:r>
    </w:p>
    <w:p>
      <w:r>
        <w:t>IV. CONCLUSION</w:t>
      </w:r>
    </w:p>
    <w:p>
      <w:r>
        <w:t>30. Au regard de l'analyse concurrentielle effectuée, il apparaît que l'opération n'est pas susceptible de créer ou de renforcer une position dominante sur les marchés concernés, ni de nuire à la concurrence effective.</w:t>
      </w:r>
    </w:p>
    <w:p>
      <w:r>
        <w:t>31. Par conséquent, il est proposé de ne pas s'opposer à l'opération de concentration entre la Mutuelle Civile de la Défense et le groupe Istya.</w:t>
      </w:r>
    </w:p>
    <w:p>
      <w:r>
        <w:rPr>
          <w:b/>
        </w:rPr>
        <w:t>[Pages 7–7]</w:t>
      </w:r>
    </w:p>
    <w:p>
      <w:r>
        <w:t>[0-5] % of the market for the distribution on behalf of third parties of borrower insurance products for real estate, less than [0-5] % of the market for the distribution on behalf of third parties of funeral insurance products, and [0-5] % of the distribution on behalf of third parties of assistance products.</w:t>
      </w:r>
    </w:p>
    <w:p>
      <w:r>
        <w:t>29. Therefore, regardless of the markets considered in the sector of distribution of insurance products on behalf of third parties, the operation is not likely to harm competition.</w:t>
      </w:r>
    </w:p>
    <w:p>
      <w:r>
        <w:t>DECIDES</w:t>
      </w:r>
    </w:p>
    <w:p>
      <w:r>
        <w:t>Sole Article: The operation notified under number 11-189 is authorized.</w:t>
      </w:r>
    </w:p>
    <w:p>
      <w:r>
        <w:t xml:space="preserve">The President,  </w:t>
        <w:br/>
        <w:t xml:space="preserve">Bruno Lasserre  </w:t>
        <w:br/>
        <w:t xml:space="preserve">Competition Authority  </w:t>
        <w:br/>
        <w:t>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