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https://www.autoritedelaconcurrence.fr/fr/decision-de-controle-des-concentrations/relative-laffiliation-de-la-mutuelle-du-ministere-de-la</w:t>
      </w:r>
    </w:p>
    <w:p>
      <w:r>
        <w:t>Pages translated : 2</w:t>
      </w:r>
    </w:p>
    <w:p/>
    <w:p>
      <w:r>
        <w:rPr>
          <w:b/>
        </w:rPr>
        <w:t>[Pages 1–2]</w:t>
      </w:r>
    </w:p>
    <w:p>
      <w:r>
        <w:t xml:space="preserve">FRENCH REPUBLIC  </w:t>
        <w:br/>
        <w:t xml:space="preserve">Decision No. 17-DCC-217 of December 22, 2017  </w:t>
        <w:br/>
        <w:t xml:space="preserve">regarding the affiliation of the Mutual of the Ministry of Justice to the  </w:t>
        <w:br/>
        <w:t xml:space="preserve">Mutual Insurance Group Company AG2R La Mondiale  </w:t>
        <w:br/>
        <w:t xml:space="preserve">The Competition Authority,  </w:t>
        <w:br/>
        <w:t xml:space="preserve">Having regard to the complete notification file sent to the mergers department on  </w:t>
        <w:br/>
        <w:t xml:space="preserve">November 17, 2017, concerning the affiliation of the Mutual of the Ministry of Justice to the Mutual  </w:t>
        <w:br/>
        <w:t xml:space="preserve">Insurance Group Company AG2R La Mondiale, formalized by an affiliation agreement dated June 30, 2017, between the Social Protection Insurance Group Company AG2R La Mondiale and the Mutual of the Ministry of Justice and by an affiliation agreement dated June 30, 2017, between the Mutual Insurance Group Company AG2R La Mondiale and the Social Protection Insurance Group Company AG2R La Mondiale;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affiliation of the Mutual of the Ministry of Justice to the  </w:t>
        <w:br/>
        <w:t xml:space="preserve">Mutual Insurance Group Company (SGAM) AG2R La Mondiale via its affiliation to the  </w:t>
        <w:br/>
        <w:t xml:space="preserve">Social Protection Insurance Group Company (SGAPS) AG2R La Mondiale, which itself  </w:t>
        <w:br/>
        <w:t xml:space="preserve">is affiliated to the aforementioned SGAM. In accordance with established decision-making practice, the operation constitutes a de facto merger in that it results in the combination of activities of previously independent companies within a single economic entity. It therefore constitutes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the insurance product markets, which are consistently defined by the decision-making practice of the Competition Authority.  </w:t>
        <w:br/>
        <w:t xml:space="preserve">3. Regardless of the segmentations retained, the estimated market shares of the parties are below 25%.  </w:t>
        <w:br/>
        <w:t xml:space="preserve">4. Considering the elements of the file and in particular point 384 of the guidelines of the Competition Authority relating to the control of concentrations, the operation is not likely to harm competition.  </w:t>
        <w:br/>
        <w:t xml:space="preserve">DECIDES  </w:t>
        <w:br/>
        <w:t xml:space="preserve">Sole Article: The operation notified under number 17-216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