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https://www.autoritedelaconcurrence.fr/fr/decision-de-controle-des-concentrations/relative-laffiliation-de-la-mutuelle-generale-de-0</w:t>
      </w:r>
    </w:p>
    <w:p>
      <w:r>
        <w:t>Pages translated : 2</w:t>
      </w:r>
    </w:p>
    <w:p/>
    <w:p>
      <w:r>
        <w:rPr>
          <w:b/>
        </w:rPr>
        <w:t>[Pages 1–2]</w:t>
      </w:r>
    </w:p>
    <w:p>
      <w:r>
        <w:t xml:space="preserve">FRENCH REPUBLIC  </w:t>
        <w:br/>
        <w:t xml:space="preserve">Decision No. 22-DCC-138 of July 28, 2022  </w:t>
        <w:br/>
        <w:t xml:space="preserve">regarding the affiliation of the Mutuelle Générale de l’Économie des  </w:t>
        <w:br/>
        <w:t xml:space="preserve">Finances et de l’Industrie (MGEFI) to the mutual insurance group company Matmut  </w:t>
        <w:br/>
        <w:t xml:space="preserve">The Competition Authority,  </w:t>
        <w:br/>
        <w:t xml:space="preserve">Having regard to the complete notification file sent to the mergers department on July 5, 2022,  </w:t>
        <w:br/>
        <w:t xml:space="preserve">concerning the affiliation of the Mutuelle Générale de l’Économie des Finances et de l’Industrie  </w:t>
        <w:br/>
        <w:t xml:space="preserve">(MGEFI) to the mutual insurance group company Matmut, formalized by a draft affiliation agreement that received approval from the general assemblies of the SGAM Matmut on June 29, 2022, and its affiliated companies (Mutlog and Mutlog Garanties on June 9, 2022, AMF SAM on June 10, 2022, Matmut SAM and Matmut Mutualité on June 11, 2022, Mutuelle Ociane Matmut on June 14, 2022) and from the MGEFI on June 28 and 29, 2022;  </w:t>
        <w:br/>
        <w:t xml:space="preserve">Having regard to Book IV of the Commercial Code relating to price freedom and competition, and in particular its Articles L. 430-1 to L. 430-7;  </w:t>
        <w:br/>
        <w:t xml:space="preserve">Adopts the following decision:  </w:t>
        <w:br/>
        <w:t xml:space="preserve">1. The notified operation consists of the affiliation of the MGEFI, primarily active in the health insurance and provident products sector, to the mutual insurance group company Matmut, active in the personal and property insurance products sector. It constitutes a concentration within the meaning of Article L. 430-1 of the Commercial Code. Given the turnover achieved by the concerned companies, the notification thresholds of Article 1 paragraph 2 of Regulation (EC) 139/2004 are exceeded, but since each of the concerned companies generates more than two-thirds of its turnover in France, the operation does not fall under the jurisdiction of the European Union. On the other hand, the control thresholds mentioned in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22-160 is authorized.  </w:t>
        <w:br/>
        <w:t xml:space="preserve">The Vice-President,  </w:t>
        <w:br/>
        <w:t xml:space="preserve">Fabienne Siredey-Garnier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