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https://www.autoritedelaconcurrence.fr/fr/decision-de-controle-des-concentrations/relative-laffiliation-de-la-mutuelle-generale-de-leconomie</w:t>
      </w:r>
    </w:p>
    <w:p>
      <w:r>
        <w:t>Pages translated : 6</w:t>
      </w:r>
    </w:p>
    <w:p/>
    <w:p>
      <w:r>
        <w:rPr>
          <w:b/>
        </w:rPr>
        <w:t>[Pages 1–3]</w:t>
      </w:r>
    </w:p>
    <w:p>
      <w:r>
        <w:t xml:space="preserve">FRENCH REPUBLIC  </w:t>
        <w:br/>
        <w:t xml:space="preserve">Decision No. 12-DCC-181 of December 27, 2012  </w:t>
        <w:br/>
        <w:t xml:space="preserve">regarding the affiliation of the Mutuelle Générale de l’Économie,  </w:t>
        <w:br/>
        <w:t xml:space="preserve">des Finances et de l’Industrie (MGEFI) to the mutualist union  </w:t>
        <w:br/>
        <w:t>Istya</w:t>
      </w:r>
    </w:p>
    <w:p>
      <w:r>
        <w:t xml:space="preserve">The Competition Authority,  </w:t>
        <w:br/>
        <w:t xml:space="preserve">Having regard to the notification file submitted in full to the concentrations service on November 22, 2012, regarding the affiliation of the Mutuelle Générale de l’Économie, des Finances et de l’Industrie to the mutualist union Istya, formalized by a draft affiliation agreement approved by the general assembly of Istya on September 21, 2012, and that of the general assembly of the Mutuelle Générale de l’Économie, des Finances et de l’Industrie on June 27 and 28, 2012;  </w:t>
        <w:br/>
        <w:t xml:space="preserve">Having regard to Book IV of the Commercial Code relating to price freedom and competition, and in particular its Articles L. 430-1 to L. 430-10;  </w:t>
        <w:br/>
        <w:t xml:space="preserve">Having regard to the supplementary elements transmitted by the parties during the investigation;  </w:t>
        <w:br/>
        <w:t>Adopts the following decision:</w:t>
      </w:r>
    </w:p>
    <w:p>
      <w:r>
        <w:t xml:space="preserve">I. The companies concerned and the operation  </w:t>
        <w:br/>
        <w:t xml:space="preserve">1. The Mutuelle Générale de l’Économie, des Finances et de l’Industrie (hereinafter "MGEFI") is a mutual governed by the provisions of the Mutuality Code1. It is authorized to provide insurance services under branches 1 (accident) and 2 (illness). It also operates in the field of provident insurance (death, incapacity). Furthermore, it distributes borrower insurance contracts and offers assistance.  </w:t>
        <w:br/>
        <w:t xml:space="preserve">2. Istya is a mutualist union (hereinafter "UMG") created in May 20112 and to which the Mutuelle Générale de l’Education Nationale (hereinafter "MGEN"), the  </w:t>
        <w:br/>
        <w:t xml:space="preserve">1 See Decision C2007-151 / letter from the Minister of Economy, Finance and Employment dated December 27, 2007, to the Council of the six mutuals regarding a concentration in the complementary health insurance and provident sector, published in BOCCRF No. 4 bis of May 7, 2008. The MGEFI was authorized by order of the Minister of Health dated October 12, 2007, published in the Official Journal of November 14, 2007.  </w:t>
        <w:br/>
        <w:t>2 See the decisions of the Competition Authority No. 11-DCC-12 of February 1, 2011, regarding the creation of a Mutualist Union by the MGEN, MNH, MNT, MGET, and MAEE groups, and No. 11-DCC-186 of December 14, 2011, regarding the affiliation of the Mutuelle Civile de la Défense to the mutualist union Istya. By a decision of the Board of Directors dated November 15, 2012, the MNH and MNH Prévoyance mutuals will leave the Istya group no later than December 31, 2012, and after approval by the general assembly of the group.</w:t>
      </w:r>
    </w:p>
    <w:p>
      <w:r>
        <w:t xml:space="preserve">Mutuelle Générale de l’Education Nationale Vie (hereinafter "MGEN Vie"), the Mutuelle Générale de l’Education Nationale Filia (hereinafter "MGEN Filia"), the Mutuelle Nationale Territoriale (hereinafter "MNT"), the Mutuelle Générale de l’Environnement et des Territoires (hereinafter "MGET"), the Mutuelle des Affaires Etrangères et Européennes (hereinafter "MAEE"), as well as the Mutuelle Civile de la Défense. Istya and its members (hereinafter "the Istya group") are present in the sector of providing insurance services and ancillary products such as assistance, borrower insurance, and acquisition guarantee.  </w:t>
        <w:br/>
        <w:t xml:space="preserve">3. The draft affiliation agreement approved by the general assemblies of MGEFI and Istya on June 27 and 28, 2012, and September 21, 2012, respectively, aims to define significant and lasting financial solidarity links between MGEFI and Istya, characterizing, according to decision-making practice3, the merger of activities of previously independent companies. Furthermore, "The affiliated members have notably agreed to entrust the UMG with the research, implementation, and coordination of common development and cooperation projects. [...] Thus, while retaining its management autonomy, the affiliated member agrees to participate in the actions and fields of cooperation and the strategic orientations decided and developed by the UMG. In return, it will benefit from all the services implemented at the UMG level." This affiliation must take place no later than January 1, 2013. Given all these elements, the affiliation of MGEFI to the Istya group constitutes a concentration operation within the meaning of Article L. 430-1 of the Commercial Code.  </w:t>
        <w:br/>
        <w:t>4. The companies concerned have achieved a consolidated turnover excluding taxes of more than 150 million euros globally in the last closed financial year (the Istya group: […] euros for the financial year ending December 31, 2011; MGEFI: […] euros for the same financial year). Each of these companies has achieved, in France, a turnover exceeding 50 million euros (the Istya group: […] euros for the financial year ending December 31, 2011; MGEFI: […] euros for the same financial year).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A. THE MARKETS FOR PRODUCTS  </w:t>
        <w:br/>
        <w:t xml:space="preserve">5. National and community competition authorities distinguish between the markets for personal insurance, property insurance, and reinsurance4. Regarding the first two categories of products, competition authorities have considered that they  </w:t>
        <w:br/>
        <w:t xml:space="preserve">3 See in particular Decision No. 11-DCC-12 mentioned above.  </w:t>
        <w:br/>
        <w:t>4 See in particular the European Commission Decision No. COMP/M.4284 Axa/Winterthur of August 28, 2006; the letter from the Minister of Economy, Finance and Industry No. C2007-49 of August 21, 2007, to the councils of the AG2R Prévoyance provident institution and La Mondiale; Decision of the Competition Authority No. 10-DCC-52 of June 2, 2010, regarding the creation of a Mutual Insurance Group ("SGAM") by MACIF, MAIF, and MATMUT.</w:t>
      </w:r>
    </w:p>
    <w:p>
      <w:r>
        <w:t xml:space="preserve">can be segmented according to the types of risks, insofar as, from the demand perspective, insurance covering these different risks are not substitutable5.  </w:t>
        <w:br/>
        <w:t xml:space="preserve">1. MARKETS FOR PERSONAL INSURANCE PRODUCTS  </w:t>
        <w:br/>
        <w:t xml:space="preserve">6. Regarding the market for personal insurance, in addition to segmentation based on different types of risk, a further segmentation can be made between group insurance contracts, concluded between an insurer and a policyholder distinct from the beneficiary, and individual insurance contracts where the policyholder is also the beneficiary6.  </w:t>
        <w:br/>
        <w:t xml:space="preserve">7. In the present case, the parties to the transaction are simultaneously active in the field of personal insurance and have identified the following segments where their activities overlap:  </w:t>
        <w:br/>
        <w:t xml:space="preserve">- the market for complementary health insurance, which aims to supplement the benefits offered by mandatory health insurance schemes. The covered risk corresponds to the costs not covered by social security incurred for medical treatment, and the complementary reimbursements depend on the benefits of the legal social security scheme. These can be either group insurance contracts or individual insurance contracts. In this case, the activities of the parties overlap in the segments of individual contracts and collective contracts for complementary health insurance;  </w:t>
        <w:br/>
        <w:t xml:space="preserve">- the market for provident insurance, which includes insurance products intended to cover beneficiaries against loss of income in the event of accident, death, long illness, disability, incapacity, or job loss through the payment of compensation in the form of a capital sum or annuity. The covered risk is that of an unpredictable loss of income suffered by the beneficiary or their dependents. These can be either group insurance contracts or individual insurance contracts. In this case, the activities of the parties overlap only in the segment of individual provident contracts;  </w:t>
        <w:br/>
        <w:t xml:space="preserve">8. In any case, the exact definition of each of the markets examined in this decision can be left open, as the conclusions of the competitive analysis will remain unchanged regardless of the segmentations retained.  </w:t>
        <w:br/>
        <w:t xml:space="preserve">2. MARKETS FOR THE DISTRIBUTION OF INSURANCE PRODUCTS ON BEHALF OF THIRD PARTIES  </w:t>
        <w:br/>
        <w:t xml:space="preserve">9. The distribution of insurance products consists of marketing and ensuring the administrative management of guarantees or insurance contracts whose risk is borne by third-party insurers7. Both community and national competition authorities have left the question of the precise delimitation of markets in this sector open, as several segmentations are  </w:t>
        <w:br/>
        <w:t xml:space="preserve">5 See the European Commission Decision No. COMP/M.4284 mentioned above, the letter from the Minister of Economy No. C2007-49 mentioned above, and the Decision of the Competition Authority No. 10-DCC-52 mentioned above.  </w:t>
        <w:br/>
        <w:t xml:space="preserve">6 See the letter from the Minister of Economy, Finance and Industry dated April 7, 2003, to the CEO of La Mondiale insurance company and to the General Delegate of the AG2R Prévoyance provident institution, and Decision 11-DCC-156 of October 24, 2011, regarding the merger by absorption of the Adrea Mutuelle mutuals (absorbing mutual), Adrea Mutuelle Bourgogne, Adrea Mutuelle Pays de Savoie, Adrea Mutuelle Muti, Adrea Mutuelle Franche-Comté, Adrea Mutuelle Unilia, Adrea Mutuelle Centre Auvergne, and the contribution of the portfolio of Adrea Mutuelle Pays de l’Ain to Adrea Mutuelle.  </w:t>
        <w:br/>
        <w:t>7 See in particular the letter from the Minister of Economy No. C2008-77 of October 28, 2008, to the councils of the Mutuelle Harmonie Mutualité company; and the Decision of the Competition Authority No. 10-DCC-156 mentioned above.</w:t>
      </w:r>
    </w:p>
    <w:p>
      <w:r>
        <w:rPr>
          <w:b/>
        </w:rPr>
        <w:t>[Pages 4–6]</w:t>
      </w:r>
    </w:p>
    <w:p>
      <w:r>
        <w:t>envisaged. A broad market for the distribution of insurance products by independent intermediaries, including all distribution channels (agents, brokers, and other intermediaries including banks), with the exception of direct distribution by insurance companies, has thus been identified. The markets for the distribution of insurance products can also be segmented according to the category of risks insured (property insurance and personal insurance) and according to the clientele (businesses or individuals).</w:t>
      </w:r>
    </w:p>
    <w:p>
      <w:r>
        <w:t>10. In the present case, the parties to the transaction are simultaneously active in the distribution markets on behalf of third parties for the following products: i) individual provident contracts; ii) long-term care insurance, which includes guarantees consisting of paying a benefit, in the form of a capital sum or annuity, to the beneficiary in the event of total or partial, permanent or temporary loss of autonomy. These may be either group insurance contracts or individual insurance contracts. In this case, the parties' activities only overlap in the segment of distribution on behalf of third parties of individual long-term care insurance contracts; iii) assistance, which includes cash or in-kind benefits aimed at helping the insured when faced with an unforeseen event; iv) borrower insurance, which is insurance taken out by an individual in connection with a mortgage or consumer credit to guarantee the repayment of the loan in the event of the occurrence of certain risks related to human life (death, loss of autonomy, etc.); v) acquisition guarantee intended to provide banks, in the context of a mortgage loan, with guarantees on the financed property; and vi) funeral insurance.</w:t>
      </w:r>
    </w:p>
    <w:p>
      <w:r>
        <w:t>11. In any case, insofar as the conclusions of the competitive analysis will remain unchanged regardless of the segmentations chosen, it is not necessary to resolve the question of the exact delimitation of the markets for the distribution of insurance products.</w:t>
      </w:r>
    </w:p>
    <w:p>
      <w:r>
        <w:t>B. GEOGRAPHICAL MARKETS</w:t>
      </w:r>
    </w:p>
    <w:p>
      <w:r>
        <w:t>12. Except for certain insurances covering large-scale risks, the decisional practice considers that the markets for insurance products have a national dimension given consumer preferences, the existence of national legislation and tax constraints, the current structure of these markets, or regulatory systems.</w:t>
      </w:r>
    </w:p>
    <w:p>
      <w:r>
        <w:t>13. Similarly, regarding their geographical delimitations, the markets for the distribution of insurance products have been considered essentially as having a national dimension.</w:t>
      </w:r>
    </w:p>
    <w:p>
      <w:r>
        <w:t>14. There is no reason to challenge these delimitations in the context of the present operation.</w:t>
      </w:r>
    </w:p>
    <w:p>
      <w:r>
        <w:t>III. COMPETITIVE ANALYSIS</w:t>
      </w:r>
    </w:p>
    <w:p>
      <w:r>
        <w:t>A. MARKETS FOR PERSONAL INSURANCE PRODUCTS</w:t>
      </w:r>
    </w:p>
    <w:p>
      <w:r>
        <w:t>15. The market shares of the parties in the markets where their activities overlap are reproduced in the table below.</w:t>
      </w:r>
    </w:p>
    <w:p>
      <w:r>
        <w:t>Markets – 2011 (value) Istya Group MGEFI New entity</w:t>
        <w:br/>
        <w:t>Total [5-10] % [0-5] % [5-10] %</w:t>
        <w:br/>
        <w:t>Supplementary health Individual contracts [10-20] % [0-5] % [10-20] %</w:t>
        <w:br/>
        <w:t>Group contracts [0-5] % [0-5] % [0-5] %</w:t>
        <w:br/>
        <w:t>Total [0-5] % [0-5] % [0-5] %</w:t>
        <w:br/>
        <w:t>Disability/invalidity insurance</w:t>
        <w:br/>
        <w:t>Individual contracts [0-5] % [0-5] % [0-5] %</w:t>
      </w:r>
    </w:p>
    <w:p>
      <w:r>
        <w:t>16. The new entity will also represent less than [5-10] % of supplementary health insurance and will hold a market share of [10-20] % in the segment of individual supplementary health insurance contracts. The new entity will face competition in these markets from many other players, including Groupama (which represents [5-10] % of supplementary health insurance and [5-10] % of individual supplementary health insurance contracts), Harmonie Mutuelles (approximately [5-10] % of supplementary health insurance and the segment of individual contracts), Swiss Life and Axa, each holding a market share of [0-5] % in the segment of individual supplementary health insurance contracts.</w:t>
      </w:r>
    </w:p>
    <w:p>
      <w:r>
        <w:t>17. Regarding provident insurance, the combined turnover of the parties to the transaction represents less than [0-5] % of the overall market and less than [0-5] % of the individual provident segment. Several strong competitors are present in this market, such as Groupama ([5-10] %), Axa ([0-5] %), AG2R-La Mondiale ([0-5] %), Allianz ([0-5] %), or Generali ([0-5] %).</w:t>
      </w:r>
    </w:p>
    <w:p>
      <w:r>
        <w:t>18. Therefore, the operation is not likely to harm competition in the market for personal insurance products.</w:t>
      </w:r>
    </w:p>
    <w:p>
      <w:r>
        <w:t>B. MARKETS FOR THE DISTRIBUTION OF INSURANCE PRODUCTS ON BEHALF OF THIRD PARTIES</w:t>
      </w:r>
    </w:p>
    <w:p>
      <w:r>
        <w:t>19. The parties to the transaction are active in the insurance distribution markets, in the fields of provident insurance and long-term care.</w:t>
      </w:r>
    </w:p>
    <w:p>
      <w:r>
        <w:t>20. In the provident insurance market, with a combined market share of less than [0-5] % of the overall market and between [5-10] % and [10-20] % for individual provident insurance, the new entity will continue to face competition from a very large number of distributors.</w:t>
      </w:r>
    </w:p>
    <w:p>
      <w:r>
        <w:t>21. In the markets for long-term care insurance, borrower insurance (mortgage loans), assistance, and funeral insurance, with a combined market share of less than [0-5] %, the new entity will continue to face competition from a very large number of distributors.</w:t>
      </w:r>
    </w:p>
    <w:p>
      <w:r>
        <w:t>22. Therefore, regardless of the markets considered in the insurance distribution sector, the operation is not likely to harm competition.</w:t>
      </w:r>
    </w:p>
    <w:p>
      <w:r>
        <w:t>DECIDES</w:t>
      </w:r>
    </w:p>
    <w:p>
      <w:r>
        <w:t>Article unique: The operation notified under number 12-172 is authorized.</w:t>
      </w:r>
    </w:p>
    <w:p>
      <w:r>
        <w:t>The Vice-President,</w:t>
        <w:br/>
        <w:t>Françoise Aubert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