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https://www.autoritedelaconcurrence.fr/fr/decision-de-controle-des-concentrations/relative-laffiliation-de-la-mutuelle-ociane-la-sgam-du</w:t>
      </w:r>
    </w:p>
    <w:p>
      <w:r>
        <w:t>Pages translated : 6</w:t>
      </w:r>
    </w:p>
    <w:p/>
    <w:p>
      <w:r>
        <w:rPr>
          <w:b/>
        </w:rPr>
        <w:t>[Pages 1–3]</w:t>
      </w:r>
    </w:p>
    <w:p>
      <w:r>
        <w:t xml:space="preserve">FRENCH REPUBLIC  </w:t>
        <w:br/>
        <w:t xml:space="preserve">Decision No. 16-DCC-135 of August 19, 2016  </w:t>
        <w:br/>
        <w:t>regarding the affiliation of the mutual insurance company Ociane to the SGAM of the Matmut group</w:t>
      </w:r>
    </w:p>
    <w:p>
      <w:r>
        <w:t xml:space="preserve">The Competition Authority,  </w:t>
        <w:br/>
        <w:t xml:space="preserve">Having regard to the notification file submitted in full to the concentrations service on July 15, 2016, regarding the affiliation of the mutual insurance company Ociane to the Mutual Insurance Group Company Viana, formalized by an affiliation agreement of Ociane to the Mutual Insurance Group Company Viana signed on July 5, 2016;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A. THE COMPANIES CONCERNED  </w:t>
        <w:br/>
        <w:t>1. The Mutual Insurance Group Company Viana (hereinafter "SGAM Viana") has the activity, in accordance with the provisions of Article L. 322-1-2 of the Insurance Code, of taking and managing stakes in insurance or reinsurance companies or establishing and managing significant and lasting solidarity links with mutuals, provident institutions, mutual insurance companies, or insurance or reinsurance companies in mutual or cooperative form or with joint management. Under its statutes, SGAM Viana has the purpose of designing, promoting, and evolving insurance offers, gathering resources to ensure the visibility and development of its affiliated companies, or coordinating financial management policies to secure and optimize performance. Insofar as SGAM Viana maintains significant and lasting financial solidarity links that do not result from financial stakes with the companies affiliated to it, the affiliation of its members is governed by affiliation agreements.</w:t>
      </w:r>
    </w:p>
    <w:p>
      <w:r>
        <w:t xml:space="preserve">1. SGAM Viana is composed of several entities of the Matmut group which holds control over it. These companies are as follows:  </w:t>
        <w:br/>
        <w:t xml:space="preserve">- the Matmut mutual insurance company (hereinafter "Matmut SAM");  </w:t>
        <w:br/>
        <w:t xml:space="preserve">- Matmut Mutualité (hereinafter "Matmut Mutualité"); and  </w:t>
        <w:br/>
        <w:t xml:space="preserve">- the Mutual Insurance for Civil Servants (hereinafter "AMF").  </w:t>
        <w:br/>
        <w:t xml:space="preserve">2. Matmut is a group of companies offering personal and property insurance products to individuals, professionals, and businesses (hereinafter "Matmut Group"). It also offers financial and savings services. Matmut is composed of several companies including notably:  </w:t>
        <w:br/>
        <w:t xml:space="preserve">− Matmut SAM, the group's parent company which sets its strategy. It offers insurance products to the general public. Besides SGAM Viana, Matmut SAM is also affiliated, alongside MACIF SAM, to the Mutual Insurance Group Company Sferen (hereinafter "SGAM Sferen"). However, SGAM Sferen is intended to be dissolved, as Matmut SAM and MACIF SAM, its two only members, have initiated its dissolution during their respective boards of directors and extraordinary general meetings;  </w:t>
        <w:br/>
        <w:t xml:space="preserve">− Matmut Mutualité, which offers financial benefits to group members in the event of bodily injury. Matmut Mutualité is affiliated to SGAM Viana;  </w:t>
        <w:br/>
        <w:t xml:space="preserve">− Matmut Santé Prévoyance (hereinafter "MSP"), which offers individual and collective health insurance products. Matmut Santé Prévoyance has entered into a substitution agreement with the Mutual Employees of Mutuality (hereinafter "MEM") under which it manages the contracts taken out for the benefit of employees of the Matmut Group and retired employees.  </w:t>
        <w:br/>
        <w:t>3. Ociane is a mutual insurance company subject to the provisions of Book II of the Mutuality Code. Its activity mainly consists of offering insurance products in the collective and individual health insurance sector. Ociane also distributes the insurance products of the company Mutex, of which it is a non-controlling minority shareholder, as an insurance intermediary. Ociane created in 2014 a Mutual Group Union with MSP, the UGM Ociane – Matmut (hereinafter "UGM Ociane – Matmut"), aimed at constituting among its members "a national hub for the grouping of mutual organizations [...] in order to promote the conditions of their partnership initially, and then their merger in the medium term."</w:t>
      </w:r>
    </w:p>
    <w:p>
      <w:r>
        <w:t xml:space="preserve">B. THE OPERATION  </w:t>
        <w:br/>
        <w:t xml:space="preserve">4. The notified operation will take place in several stages constituting a single concentration.  </w:t>
        <w:br/>
        <w:t xml:space="preserve">5. In the first phase, under two merger agreements between MSP and Ociane on the one hand and between MEM and Ociane on the other hand, the portfolios of MSP and MEM will be transferred to Ociane by way of a merger-absorption.  </w:t>
        <w:br/>
        <w:t xml:space="preserve">1 In accordance with the provisions of Article L. 322-1-3 of the Insurance Code.  </w:t>
        <w:br/>
        <w:t xml:space="preserve">2 Decision No. 13-DCC-109 of August 14, 2013, regarding the exclusive control by Mutex of the portfolio of the National Union of Provident Insurance of the French Mutuality.  </w:t>
        <w:br/>
        <w:t>3 Statutes of the UGM Ociane – Matmut.</w:t>
      </w:r>
    </w:p>
    <w:p>
      <w:r>
        <w:t xml:space="preserve">6. In a second phase, under the terms of the affiliation agreement of Ociane to SGAM Viana signed on July 5, 2016, the entity resulting from these two operations will join SGAM Viana. The purpose of the affiliation agreement largely incorporates the provisions of the statutes of SGAM Viana. It thus provides for the establishment of "significant and lasting financial solidarity links between its members" as well as the "pooling of investments, costs, and resources." Furthermore, a coordination of financial management policies may be implemented as well as common reinsurance systems. Certain resources, particularly in the field of communication and distribution of insurance products, may be combined to ensure the development of affiliated companies. In this context, Ociane undertakes in particular to provide SGAM Viana with significant economic and financial information, the reports of the statutory auditors, the draft resolutions submitted to its general assembly, as well as the minutes of its boards of directors. In light of these elements and in accordance with decision-making practice, the affiliation of Ociane to SGAM Viana constitutes a de facto merger that brings together the activities of Ociane with the activities of the other companies affiliated to SGAM Viana, itself controlled by the Matmut Group, within a single economic entity.  </w:t>
        <w:br/>
        <w:t xml:space="preserve">7. These two series of operations constitute interdependent operations due to significant legal links between them. The treaties and agreements relating to these operations stipulate that their realization is subject to the lifting of suspensive conditions linked to each other. The merger agreement between Ociane and MEM first provides that this operation can only be carried out on the condition that MSP merges with Ociane. Moreover, the merger agreements between MSP and MEM with Ociane provide for a similar suspensive condition that subordinates the absorption of these two companies by Ociane to the affiliation of the latter to SGAM Viana. The notifying party also communicates a number of public communications from the parties demonstrating the existence of a global economic project for the rapprochement between the concerned companies. Consequently, these operations constitute a single concentration operation within the meaning of Article L.430-1 of the Commercial Code.  </w:t>
        <w:br/>
        <w:t xml:space="preserve">8. The companies concerned together achieve a total worldwide turnover excluding tax of more than 150 million euros (Matmut Group: […] euros for the fiscal year ending December 31, 2015; Ociane: […] euros for the fiscal year ending December 31, 2015). Each of these companies has achieved a turnover in France exceeding 50 million euros (Matmut Group: […] euros for the fiscal year ending December 31, 2015; Ociane: […] euros for the fiscal year ending December 31, 2015). Given these turnover figures, the operation does not fall under the jurisdiction of the European Union. On the other hand, the control thresholds mentioned in I of Article L. 430-2 of the Commercial Code are exceeded. This operation is  </w:t>
        <w:br/>
        <w:t xml:space="preserve">4 Decision No. 14-DCC-20 of February 17, 2014, regarding the affiliation of the National Mutual of Air France Personnel to the Mutual Insurance Group Company Macif, decisions No. 13-DCC-84 of July 4, 2013, regarding the affiliation of the interprofessional mutual SMI to the Mutual Insurance Group Company Covéa, No. 10-DCC-52 of June 2, 2010, regarding the creation of a Mutual Insurance Group Company by Macif, MAIF, and Matmut, and No. 11-DCC-97 of June 29, 2011, regarding the affiliation of the provident institution Apgis to the mutual insurance group company Covéa.  </w:t>
        <w:br/>
        <w:t xml:space="preserve">5 The notifying party specifies that it is planned for the companies Mutlog and Mutlog Garanties to also affiliate with SGAM Viana. However, the notifying party has not communicated any documents relating to this affiliation which is not yet effective in any case and is not legally conditioned to the present operation. These affiliations are not part of the global economic project analyzed in this decision.  </w:t>
        <w:br/>
        <w:t xml:space="preserve">6 Article 12 of the merger agreements between Ociane on the one hand, and MEM and MSP on the other hand.  </w:t>
        <w:br/>
        <w:t>7 See points 60 to 63 of the guidelines of the Competition Authority regarding the control of concentrations, which refer to points 38 and following of the consolidated communication of the Commission, which specify that "multiple operations constitute a single concentration operation as long as they are interdependent, in the sense that one operation would not have been carried out without the other." Operations may be considered legally linked when the agreements themselves are linked by reciprocal conditionality. However, it cannot be excluded that elements demonstrating that, from an economic perspective, the operations cannot be carried out one without the other are taken into account.</w:t>
      </w:r>
    </w:p>
    <w:p>
      <w:r>
        <w:rPr>
          <w:b/>
        </w:rPr>
        <w:t>[Pages 4–6]</w:t>
      </w:r>
    </w:p>
    <w:p>
      <w:r>
        <w:t>therefore subject to the provisions of Articles L. 430-3 et seq. of the Commercial Code relating to economic concentration.</w:t>
      </w:r>
    </w:p>
    <w:p>
      <w:r>
        <w:t>II. Definition of Relevant Markets</w:t>
      </w:r>
    </w:p>
    <w:p>
      <w:r>
        <w:t>9. National and Community competition authorities distinguish between the markets for personal insurance, property and casualty insurance, and reinsurance.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w:t>
      </w:r>
    </w:p>
    <w:p>
      <w:r>
        <w:t>10. The parties to the transaction are simultaneously present in the individual and collective personal insurance product markets as well as in the market for the distribution of insurance products on behalf of third parties.</w:t>
      </w:r>
    </w:p>
    <w:p>
      <w:r>
        <w:t>A. MARKETS FOR PERSONAL INSURANCE PRODUCTS</w:t>
      </w:r>
    </w:p>
    <w:p>
      <w:r>
        <w:t>11. In the personal insurance market, an additional segmentation is made between collective insurance contracts, concluded between an insurer and a subscriber distinct from the beneficiary, and individual insurance contracts for which the subscriber is also the beneficiary.</w:t>
      </w:r>
    </w:p>
    <w:p>
      <w:r>
        <w:t>12. In any case, the exact definition of each of the markets examined in this decision may be left open, insofar as the conclusions of the competitive analysis will remain unchanged regardless of the segmentations adopted.</w:t>
      </w:r>
    </w:p>
    <w:p>
      <w:r>
        <w:t>13. In this case, the parties are simultaneously active in the following markets:</w:t>
        <w:br/>
        <w:t>- the markets for individual and collective complementary health insurance, which includes insurance products guaranteeing beneficiaries in the event of illness, accident, or maternity and aiming to provide insured individuals with additional coverage for health expenses;</w:t>
        <w:br/>
        <w:t>- the market for individual provident insurance which includes insurance products intended to cover beneficiaries against an unpredictable loss of income (in the event of death, disability, or incapacity) through a payment in the form of a capital sum or an annuity.</w:t>
      </w:r>
    </w:p>
    <w:p>
      <w:r>
        <w:t>8 Decision No. 14-DCC-149 of October 13, 2014, relating to the merger of the AG2R La Mondiale group and the ViaSanté mutual insurance company; Decision No. 15-DCC-109 of August 10, 2015, relating to the creation of a fully operational joint venture SAFM by MGEN and Harmonie mutuelle.</w:t>
      </w:r>
    </w:p>
    <w:p>
      <w:r>
        <w:t>9 Decision No. 15-DCC-16 of February 25, 2015, relating to the creation of a Mutual Insurance Group Company ("SGAM") by the La Mutuelle Générale Group and the Malakoff Médéric Group.</w:t>
      </w:r>
    </w:p>
    <w:p>
      <w:r>
        <w:t>10 Decision No. 11-DCC-156 of October 24, 2011, relating to the merger by absorption of the Adrea Mutuelle mutual insurance companies (absorbing mutual), Adrea Mutuelle Bourgogne, Adrea Mutuelle Pays de Savoie, Adrea Mutuelle Muti, Adrea Mutuelle Franche-Comté, Adrea Mutuelle Unilia, Adrea Mutuelle Centre Auvergne and the transfer of the portfolio of Adrea Mutuelle Pays de l'Ain to Adrea Mutuelle; Decision No. 15-DCC-16 of February 25, 2015, cited above.</w:t>
      </w:r>
    </w:p>
    <w:p>
      <w:r>
        <w:t>14. Regarding the geographical delimitation of the markets, with the exception of certain insurances covering large-scale risks, the markets for insurance products have been considered to be of national dimension given consumer preferences, the existence of national legislation and tax constraints, the current structure of these markets, and regulatory systems.</w:t>
      </w:r>
    </w:p>
    <w:p>
      <w:r>
        <w:t>15. There is no need to challenge these delimitations in the context of the present transaction.</w:t>
      </w:r>
    </w:p>
    <w:p>
      <w:r>
        <w:t>B. MARKETS FOR THE DISTRIBUTION OF INSURANCE PRODUCTS ON BEHALF OF THIRD PARTIES</w:t>
      </w:r>
    </w:p>
    <w:p>
      <w:r>
        <w:t>16. The distribution of insurance products consists of marketing and managing the administrative aspects of guarantees or insurance contracts whose risk is borne by third-party insurers. However, several segmentations have been considered even though the precise delimitation of these markets has been left open by the competition authorities.</w:t>
      </w:r>
    </w:p>
    <w:p>
      <w:r>
        <w:t>17. A broad market for the distribution of insurance products by independent intermediaries, including all distribution channels (agents, brokers, and other intermediaries) except for direct distribution by insurance companies, has been identified. A market limited to insurance brokerage, including only this distribution channel, has also been considered. Finally, additional segmentations have been made according to the category of insured risks (property insurance and personal insurance) and according to the clientele (businesses or individuals).</w:t>
      </w:r>
    </w:p>
    <w:p>
      <w:r>
        <w:t>18. Regarding their geographical delimitations, the markets for the distribution of insurance products have been considered essentially to be of national dimension.</w:t>
      </w:r>
    </w:p>
    <w:p>
      <w:r>
        <w:t>19. There is no need to challenge these delimitations in the context of the present transaction.</w:t>
      </w:r>
    </w:p>
    <w:p>
      <w:r>
        <w:t>20. In this case, the activities of the parties overlap in a global market for the distribution of insurance products on behalf of third parties, encompassing all products and all distribution channels. The parties do not distribute the same insurance products: the Matmut Group distributes borrower insurance products from the companies Mutlog and Mutlog Garanties while Ociane distributes provident insurance and retirement savings products, primarily from the company Mutex. Furthermore, Ociane does not engage in any insurance brokerage activities.</w:t>
      </w:r>
    </w:p>
    <w:p>
      <w:r>
        <w:t>III. Competitive Analysis</w:t>
      </w:r>
    </w:p>
    <w:p>
      <w:r>
        <w:t>21. In the complementary health insurance market, the new entity will represent approximately [0-5]% of the market in value, regardless of the segmentation considered (individual, collective, non-segmented). In the individual provident insurance market, the market share in value of the new entity will be less than [0-5]%. Finally, in the overall market for the distribution of insurance products on behalf of third parties, the market share of the new entity will remain below [0-5]%. A competitive analysis conducted by distinguishing the different segments of this market leads to the exclusion of any overlap in activity between the parties.</w:t>
      </w:r>
    </w:p>
    <w:p>
      <w:r>
        <w:t>22. Consequently, the transaction is not likely to harm competition in the relevant markets.</w:t>
      </w:r>
    </w:p>
    <w:p>
      <w:r>
        <w:t>DECIDES</w:t>
      </w:r>
    </w:p>
    <w:p>
      <w:r>
        <w:t>Article one: The operation notified under number 16-091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