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https://www.autoritedelaconcurrence.fr/fr/decision-de-controle-des-concentrations/relative-laffiliation-de-la-mutuelle-umc-la-societe-de</w:t>
      </w:r>
    </w:p>
    <w:p>
      <w:r>
        <w:t>Pages translated : 5</w:t>
      </w:r>
    </w:p>
    <w:p/>
    <w:p>
      <w:r>
        <w:rPr>
          <w:b/>
        </w:rPr>
        <w:t>[Pages 1–3]</w:t>
      </w:r>
    </w:p>
    <w:p>
      <w:r>
        <w:t>FRENCH REPUBLIC</w:t>
        <w:br/>
        <w:t>Decision No. 16-DCC-206 of December 8, 2016</w:t>
        <w:br/>
        <w:t>regarding the affiliation of the Mutuelle UMC to the Mutual Insurance Group Company Klésia Assurances</w:t>
        <w:br/>
        <w:t>The Competition Authority,</w:t>
        <w:br/>
        <w:t>Having regard to the notification file submitted in full to the concentrations service on November 7, 2016, regarding the affiliation of the Mutuelle UMC to the Mutual Insurance Group Company Klésia Assurances, formalized by an affiliation agreement dated June 28, 2016;</w:t>
        <w:br/>
        <w:t>Having regard to Book IV of the Commercial Code relating to price freedom and competition, and in particular its Articles L. 430-1 to L. 430-7;</w:t>
        <w:br/>
        <w:t>Having regard to the supplementary elements transmitted by the parties during the investigation;</w:t>
        <w:br/>
        <w:t>Adopts the following decision:</w:t>
        <w:br/>
        <w:t>I. The concerned companies and the operation</w:t>
        <w:br/>
        <w:t>1. Klésia is a parity group of social protection resulting from the merger between the Mornay and D&amp;O groups and is active in the personal insurance sector. It includes two interprofessional complementary retirement institutions (Klésia retirement ARCCO and Klésia retirement AGIRC), a complementary retirement fund for transport (Carcept), two management associations for the End of Activity Leave in the transport sector (Fongecfa and Agecfa), two provident institutions (Klésia Prévoyance and Carcept Prévoyance), a transport provident institution (Ipriac), a public limited insurance company (Klésia SA), a mutual union (the FMP), a mutual insurance company for transport (Carcept Accident), and three mutuals (Mutuelle Klésia Saint Germain, Mutuelle Carcept Prév, and Mutuelle Civile de la Défense).</w:t>
        <w:br/>
        <w:t>1 The parity groups of social protection ("GPS") are structured sets of legal entities that have close and lasting ties, created, managed, and controlled by employer organizations and unions (the "social partners"). The GPS includes at least one AGIRC retirement institution, one ARRCO retirement institution, and one provident institution, in the interest of businesses and employees (the "one-stop shop" formula). It consists of a summit association "law 1901" that is managed jointly and leads the overall strategy of the GPS. A General Director and a means association complete the system.</w:t>
        <w:br/>
        <w:t>2 Decision of the Competition Authority No. 12-DCC-93 of June 29, 2012, regarding the merger of the Mornay Group, the D&amp;O Group, and the Interdepartmental Mutual Federation of the Paris Region.</w:t>
      </w:r>
    </w:p>
    <w:p>
      <w:r>
        <w:t>Defense). The Association Sommitale Klésia (hereinafter "ASK"), the unique governance structure of the GPS, defines the political and strategic orientations of the group. The ASK is linked with the Association de Moyens Klésia (hereinafter "AMK") and with each of the group's entities by an operational agreement. The Klésia group has also established a Mutual Insurance Group Company named "Klésia Assurances" (hereinafter "SGAM Klésia"), which notably allows for the combination of accounts as well as the implementation of financial solidarity among affiliates.</w:t>
        <w:br/>
        <w:t>2. The Mutuelle UMC is a mutual insurance company governed by the provisions of "Book II" of the Code de la mutualité, which is approved for branches 1 (accidents), 2 (illness), 20 (life-death), and 21 (birth/marriage). It controls two mutual unions: UMC Services and UMC Social, as well as the company UMC Courtage. Through all these entities, the UMC group operates in the sectors of health insurance, provident insurance, reinsurance, distribution of insurance products on behalf of third parties, and services related to the health and social action of mutuals.</w:t>
        <w:br/>
        <w:t>3. The affiliation agreement concluded between SGAM Klésia and Mutuelle UMC provides for the establishment of significant and lasting financial solidarity links between the Klésia group and Mutuelle UMC. In addition to its solidarity mechanisms, SGAM Klésia establishes combined accounts (equivalent to consolidated accounts) and ensures the implementation by its members of a coherent commercial policy, making the best use of the complementarity of their products. It also plays a role in representing the affiliated companies for their common activities.</w:t>
        <w:br/>
        <w:t>4. In light of these elements and in accordance with the decision-making practice of the Authority, the affiliation of Mutuelle UMC to SGAM Klésia constitutes a de facto merger, as this operation brings together the activities of Mutuelle UMC with the activities of the other companies affiliated with SGAM within a single economic entity. Consequently, this operation constitutes a concentration within the meaning of Article L. 430-1 of the Commercial Code.</w:t>
        <w:br/>
        <w:t>5. The concerned companies have jointly achieved a consolidated turnover excluding tax on a global scale of more than 150 million euros (Klésia group: […] euros for the fiscal year ending December 31, 2015; Mutuelle UMC: […] euros for the same fiscal year). Each of these companies has achieved, in France, a turnover exceeding 50 million euros (Klésia group: […] euros for the fiscal year ending December 31, 2015; Mutuelle UMC: […] euros for the same fiscal year).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br/>
        <w:t>3 Decisions of the Competition Authority No. 10-DCC-52 of June 2, 2010, regarding the creation of a Mutual Insurance Group Company by Macif, MAIF, and Matmut, No. 11-DCC-97 of June 29, 2011, regarding the affiliation of the provident institution Apgis to the mutual insurance group company Covéa, No. 13-DCC-84 of July 4, 2013, regarding the affiliation of the interprofessional mutual SMI to the Mutual Insurance Group Company Covéa, No. 14-DCC-20 of February 17, 2014, regarding the affiliation of the National Mutual of Air France Personnel to the Mutual Insurance Group Company Macif, and No. 16-DCC-117 of August 11, 2016, regarding the affiliation of the Civil Mutual of Defense to the Mutual Insurance Group Company Klésia Assurances.</w:t>
      </w:r>
    </w:p>
    <w:p>
      <w:r>
        <w:t>II. Delimitation of Relevant Markets</w:t>
        <w:br/>
        <w:t>6. The parties to the transaction are simultaneously active in the markets for individual and group health insurance, as well as in the markets for individual and group provident contracts. The transaction also involves an overlap of activities in the market for the distribution of insurance products on behalf of third parties, as well as in the reinsurance market.</w:t>
        <w:br/>
        <w:t>A. INSURANCE AND REINSURANCE PRODUCT MARKETS</w:t>
        <w:br/>
        <w:t>7. National and European decisional practice consistently distinguishes reinsurance activities from insurance activities.</w:t>
        <w:br/>
        <w:t>8. Regarding reinsurance, national and community competition authorities consider it a distinct market due to the specificity of its object (the distribution of risks among insurers) and the less stringent regulatory constraints on this activity.</w:t>
        <w:br/>
        <w:t>9. Regarding insurance activities, a distinction has been made between personal insurance and property and liability insurance, each of which can be segmented into as many markets as there are insurances covering different types of risks. Additional segmentations have been considered within personal insurance between collective insurance contracts and individual insurance contracts, and within property and liability insurance between insurance for individuals and insurance for professionals.</w:t>
        <w:br/>
        <w:t>10. In this case, the parties to the transaction are simultaneously active in reinsurance and personal insurance. In terms of personal insurance, their activities overlap in the markets for individual and group health insurance, as well as in the markets for individual and group provident contracts.</w:t>
      </w:r>
    </w:p>
    <w:p>
      <w:r>
        <w:rPr>
          <w:b/>
        </w:rPr>
        <w:t>[Pages 4–5]</w:t>
      </w:r>
    </w:p>
    <w:p>
      <w:r>
        <w:t>11. Regarding the geographical delimitation, it emerges from decision-making practice that, with the exception of certain insurances covering large-scale risks, insurance product markets are considered to be national in scope due to consumer preferences, the existence of national legislation and tax constraints, the current structure of these markets, or regulatory systems.</w:t>
      </w:r>
    </w:p>
    <w:p>
      <w:r>
        <w:t>12. The question of the exact delimitation of insurance and reinsurance product markets can, however, be left open insofar as, regardless of the delimitation adopted, the conclusions of the competitive analysis remain unchanged.</w:t>
      </w:r>
    </w:p>
    <w:p>
      <w:r>
        <w:t>B. MARKETS FOR THE DISTRIBUTION OF INSURANCE PRODUCTS ON BEHALF OF THIRD PARTIES</w:t>
      </w:r>
    </w:p>
    <w:p>
      <w:r>
        <w:t>13. The distribution of insurance products consists of marketing and ensuring the administrative management of guarantees or insurance contracts whose risk is borne by third-party insurers. Competition authorities, both European and national, have left the question of the precise delimitation of markets in this sector open, with several segmentations being considered.</w:t>
      </w:r>
    </w:p>
    <w:p>
      <w:r>
        <w:t>14. Decision-making practice has thus considered a broad market for the distribution of insurance products by independent intermediaries, encompassing all distribution channels: agents, brokers, and other intermediaries (including banks), with the exception, however, of direct distribution by insurance companies. The practice has also considered a narrower market for insurance brokerage, comprising only this distribution channel.</w:t>
      </w:r>
    </w:p>
    <w:p>
      <w:r>
        <w:t>15. The markets for the distribution of insurance products can also be segmented based on the category of insured risks (property insurance and personal insurance) and according to the clientele (businesses or individuals).</w:t>
      </w:r>
    </w:p>
    <w:p>
      <w:r>
        <w:t>16. In this case, the parties to the transaction are simultaneously active in the market for the distribution of insurance products on behalf of third parties. The Klésia group distributes individual insurance products through the company Klésia Services and is also active in the insurance brokerage market through the company Kerpsad Courtage. The UMC group also has an insurance brokerage activity through the company UMC Courtage.</w:t>
      </w:r>
    </w:p>
    <w:p>
      <w:r>
        <w:t>17. Regarding the geographical delimitation of the markets for the distribution of insurance products on behalf of third parties, they have been considered to be national in scope.</w:t>
      </w:r>
    </w:p>
    <w:p>
      <w:r>
        <w:t>18. The question of the exact delimitation of the markets for the distribution of insurance products on behalf of third parties can, however, be left open insofar as, regardless of the delimitation adopted, the conclusions of the competitive analysis remain unchanged.</w:t>
      </w:r>
    </w:p>
    <w:p>
      <w:r>
        <w:t>III. Competitive Analysis</w:t>
      </w:r>
    </w:p>
    <w:p>
      <w:r>
        <w:t>A. MARKETS FOR INSURANCE PRODUCTS</w:t>
      </w:r>
    </w:p>
    <w:p>
      <w:r>
        <w:t>19. In the markets for insurance products, the position of SGAM Klésia will remain below 5% regardless of the market segment considered. It will also continue to face competition from large groups such as Malakoff-Médéric, Axa, Groupama Gan, and Istya.</w:t>
      </w:r>
    </w:p>
    <w:p>
      <w:r>
        <w:t>20. In the markets for reinsurance and the distribution of insurance products on behalf of third parties, the position of SGAM Klésia will remain below [0-5]% regardless of the segmentation considered.</w:t>
      </w:r>
    </w:p>
    <w:p>
      <w:r>
        <w:t>21. Consequently, the transaction is not likely to harm competition in the insurance markets.</w:t>
      </w:r>
    </w:p>
    <w:p>
      <w:r>
        <w:t>DECIDES</w:t>
      </w:r>
    </w:p>
    <w:p>
      <w:r>
        <w:t>Single Article: The transaction notified under number 16-210 is authorized.</w:t>
      </w:r>
    </w:p>
    <w:p>
      <w:r>
        <w:t>The President,</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