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https://www.autoritedelaconcurrence.fr/fr/decision-de-controle-des-concentrations/relative-laffiliation-de-la-sgam-agpm-groupe-et-de-la-sgam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23-DCC-231 of November 23, 2023  </w:t>
        <w:br/>
        <w:t xml:space="preserve">regarding the affiliation of SGAM AGPM Group and SGAM  </w:t>
        <w:br/>
        <w:t xml:space="preserve">Klesia Assurances to the newly created company AGPM Klesia  </w:t>
        <w:br/>
        <w:t xml:space="preserve">The Competition Authority,  </w:t>
        <w:br/>
        <w:t xml:space="preserve">Having regard to the complete notification file sent to the mergers department on November 7, 2023,  </w:t>
        <w:br/>
        <w:t xml:space="preserve">concerning the affiliation of SGAM AGPM Group and SGAM Klesia Assurances to the newly created  </w:t>
        <w:br/>
        <w:t xml:space="preserve">mutual insurance group company AGPM Klesia, formalized by a memorandum of understanding dated October 23,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affiliation of SGAM AGPM Group and SGAM Klesia  </w:t>
        <w:br/>
        <w:t xml:space="preserve">Assurances to the newly created mutual insurance group company AGPM Klesia, in  </w:t>
        <w:br/>
        <w:t xml:space="preserve">the insurance sector. The operation constitutes a concentration within the meaning of Article L. 430-1  </w:t>
        <w:br/>
        <w:t xml:space="preserve">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This operation is therefore subject to the provisions of Articles L. 430-3 and following of  </w:t>
        <w:br/>
        <w:t xml:space="preserve">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23-274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